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InsO — Voraussetzungen und Wirkungen der Feststellung</w:t>
      </w:r>
    </w:p>
    <w:p>
      <w:r>
        <w:rPr>
          <w:color w:val="555555"/>
          <w:sz w:val="18"/>
        </w:rPr>
        <w:t xml:space="preserve">Insolvenzordnung</w:t>
      </w:r>
    </w:p>
    <w:p>
      <w:r>
        <w:rPr>
          <w:color w:val="555555"/>
          <w:sz w:val="18"/>
        </w:rPr>
        <w:t xml:space="preserve">Stand: 10.06.2019 (konsolidierte Textfassung, kein amtliches Inkrafttretensdatum)</w:t>
      </w:r>
    </w:p>
    <w:p>
      <w:r>
        <w:t xml:space="preserve">(1) Eine Forderung gilt als festgestellt, soweit gegen sie im Prüfungstermin oder im schriftlichen Verfahren (§ 177) ein Widerspruch weder vom Insolvenzverwalter noch von einem Insolvenzgläubiger erhoben wird oder soweit ein erhobener Widerspruch beseitigt ist. Ein Widerspruch des Schuldners steht der Feststellung der Forderung nicht entgegen.</w:t>
      </w:r>
    </w:p>
    <w:p>
      <w:r>
        <w:t xml:space="preserve">(2) Das Insolvenzgericht trägt für jede angemeldete Forderung in die Tabelle ein, inwieweit die Forderung ihrem Betrag und ihrem Rang nach festgestellt ist oder wer der Feststellung widersprochen hat. Auch ein Widerspruch des Schuldners ist einzutragen. Auf Wechseln und sonstigen Schuldurkunden ist vom Urkundsbeamten der Geschäftsstelle die Feststellung zu vermerken.</w:t>
      </w:r>
    </w:p>
    <w:p>
      <w:r>
        <w:t xml:space="preserve">(3) Die Eintragung in die Tabelle wirkt für die festgestellten Forderungen ihrem Betrag und ihrem Rang nach wie ein rechtskräftiges Urteil gegenüber dem Insolvenzverwalter und allen Insolvenzgläubigern.</w:t>
      </w:r>
    </w:p>
    <w:p>
      <w:r>
        <w:rPr>
          <w:color w:val="555555"/>
          <w:sz w:val="17"/>
        </w:rPr>
        <w:t xml:space="preserve">Zitiervorschlag: § 178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