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InsO — Nachträgliche Anmeldungen</w:t>
      </w:r>
    </w:p>
    <w:p>
      <w:r>
        <w:rPr>
          <w:color w:val="555555"/>
          <w:sz w:val="18"/>
        </w:rPr>
        <w:t xml:space="preserve">Insolvenzordnung</w:t>
      </w:r>
    </w:p>
    <w:p>
      <w:r>
        <w:rPr>
          <w:color w:val="555555"/>
          <w:sz w:val="18"/>
        </w:rPr>
        <w:t xml:space="preserve">Stand: 10.06.2019 (konsolidierte Textfassung, kein amtliches Inkrafttretensdatum)</w:t>
      </w:r>
    </w:p>
    <w:p>
      <w:r>
        <w:t xml:space="preserve">(1) Im Prüfungstermin sind auch die Forderungen zu prüfen, die nach dem Ablauf der Anmeldefrist angemeldet worden sind. Widerspricht jedoch der Insolvenzverwalter oder ein Insolvenzgläubiger dieser Prüfung oder wird eine Forderung erst nach dem Prüfungstermin angemeldet, so hat das Insolvenzgericht auf Kosten des Säumigen entweder einen besonderen Prüfungstermin zu bestimmen oder die Prüfung im schriftlichen Verfahren anzuordnen. Für nachträgliche Änderungen der Anmeldung gelten die Sätze 1 und 2 entsprechend.</w:t>
      </w:r>
    </w:p>
    <w:p>
      <w:r>
        <w:t xml:space="preserve">(2) Hat das Gericht nachrangige Gläubiger nach § 174 Abs. 3 zur Anmeldung ihrer Forderungen aufgefordert und läuft die für diese Anmeldung gesetzte Frist später als eine Woche vor dem Prüfungstermin ab, so ist auf Kosten der Insolvenzmasse entweder ein besonderer Prüfungstermin zu bestimmen oder die Prüfung im schriftlichen Verfahren anzuordnen.</w:t>
      </w:r>
    </w:p>
    <w:p>
      <w:r>
        <w:t xml:space="preserve">(3) Der besondere Prüfungstermin ist öffentlich bekanntzumachen. Zu dem Termin sind die Insolvenzgläubiger, die eine Forderung angemeldet haben, der Verwalter und der Schuldner besonders zu laden. § 74 Abs. 2 Satz 2 gilt entsprechend.</w:t>
      </w:r>
    </w:p>
    <w:p>
      <w:r>
        <w:rPr>
          <w:color w:val="555555"/>
          <w:sz w:val="17"/>
        </w:rPr>
        <w:t xml:space="preserve">Zitiervorschlag: § 177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