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174 InsO — Anmeldung der Forderungen</w:t>
      </w:r>
    </w:p>
    <w:p>
      <w:r>
        <w:rPr>
          <w:color w:val="555555"/>
          <w:sz w:val="18"/>
        </w:rPr>
        <w:t xml:space="preserve">Insolvenzordnung</w:t>
      </w:r>
    </w:p>
    <w:p>
      <w:r>
        <w:rPr>
          <w:color w:val="555555"/>
          <w:sz w:val="18"/>
        </w:rPr>
        <w:t xml:space="preserve">Stand: 17.07.2024 (konsolidierte Textfassung, kein amtliches Inkrafttretensdatum)</w:t>
      </w:r>
    </w:p>
    <w:p>
      <w:r>
        <w:t xml:space="preserve">(1) Die Insolvenzgläubiger haben ihre Forderungen schriftlich beim Insolvenzverwalter anzumelden. Der Anmeldung sollen die Urkunden, aus denen sich die Forderung ergibt, in Abdruck beigefügt werden. Zur Vertretung des Gläubigers im Verfahren nach diesem Abschnitt sind auch Personen befugt, die Inkassodienstleistungen erbringen (registrierte Personen nach § 10 Abs. 1 Satz 1 Nr. 1 des Rechtsdienstleistungsgesetzes).</w:t>
      </w:r>
    </w:p>
    <w:p>
      <w:r>
        <w:t xml:space="preserve">(2) Bei der Anmeldung sind der Grund und der Betrag der Forderung anzugeben sowie die Tatsachen, aus denen sich nach Einschätzung des Gläubigers ergibt, dass ihr eine vorsätzlich begangene unerlaubte Handlung, eine vorsätzliche pflichtwidrige Verletzung einer gesetzlichen Unterhaltspflicht oder eine Steuerstraftat des Schuldners nach den §§ 370, 373 oder § 374 der Abgabenordnung zugrunde liegt.</w:t>
      </w:r>
    </w:p>
    <w:p>
      <w:r>
        <w:t xml:space="preserve">(3) Die Forderungen nachrangiger Gläubiger sind nur anzumelden, soweit das Insolvenzgericht besonders zur Anmeldung dieser Forderungen auffordert. Bei der Anmeldung solcher Forderungen ist auf den Nachrang hinzuweisen und die dem Gläubiger zustehende Rangstelle zu bezeichnen.</w:t>
      </w:r>
    </w:p>
    <w:p>
      <w:r>
        <w:t xml:space="preserve">(4) Die Anmeldung kann durch Übermittlung eines elektronischen Dokuments erfolgen; der Insolvenzverwalter kann einen gängigen elektronischen Übermittlungsweg sowie ein gängiges Dateiformat vorgeben. Der Insolvenzverwalter muss daneben einen sicheren Übermittlungsweg im Sinne des § 130a der Zivilprozessordnung für die Übermittlung anbieten. Als Urkunde im Sinne des Absatzes 1 Satz 2 kann in diesen Fällen auch eine elektronische Rechnung übermittelt werden. Auf Verlangen des Insolvenzverwalters oder des Insolvenzgerichts sind Ausdrucke, Abschriften oder Originale von Urkunden einzureichen.</w:t>
      </w:r>
    </w:p>
    <w:p>
      <w:r>
        <w:rPr>
          <w:color w:val="555555"/>
          <w:sz w:val="17"/>
        </w:rPr>
        <w:t xml:space="preserve">Zitiervorschlag: § 174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