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172 InsO — Sonstige Verwendung beweglicher Sachen</w:t>
      </w:r>
    </w:p>
    <w:p>
      <w:r>
        <w:rPr>
          <w:color w:val="555555"/>
          <w:sz w:val="18"/>
        </w:rPr>
        <w:t xml:space="preserve">Insolvenzordnung</w:t>
      </w:r>
    </w:p>
    <w:p>
      <w:r>
        <w:rPr>
          <w:color w:val="555555"/>
          <w:sz w:val="18"/>
        </w:rPr>
        <w:t xml:space="preserve">Stand: 10.06.2019 (konsolidierte Textfassung, kein amtliches Inkrafttretensdatum)</w:t>
      </w:r>
    </w:p>
    <w:p>
      <w:r>
        <w:t xml:space="preserve">(1) Der Insolvenzverwalter darf eine bewegliche Sache, zu deren Verwertung er berechtigt ist, für die Insolvenzmasse benutzen, wenn er den dadurch entstehenden Wertverlust von der Eröffnung des Insolvenzverfahrens an durch laufende Zahlungen an den Gläubiger ausgleicht. Die Verpflichtung zu Ausgleichszahlungen besteht nur, soweit der durch die Nutzung entstehende Wertverlust die Sicherung des absonderungsberechtigten Gläubigers beeinträchtigt.</w:t>
      </w:r>
    </w:p>
    <w:p>
      <w:r>
        <w:t xml:space="preserve">(2) Der Verwalter darf eine solche Sache verbinden, vermischen und verarbeiten, soweit dadurch die Sicherung des absonderungsberechtigten Gläubigers nicht beeinträchtigt wird. Setzt sich das Recht des Gläubigers an einer anderen Sache fort, so hat der Gläubiger die neue Sicherheit insoweit freizugeben, als sie den Wert der bisherigen Sicherheit übersteigt.</w:t>
      </w:r>
    </w:p>
    <w:p>
      <w:r>
        <w:rPr>
          <w:color w:val="555555"/>
          <w:sz w:val="17"/>
        </w:rPr>
        <w:t xml:space="preserve">Zitiervorschlag: § 172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