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 InsO — Berechnung des Kostenbeitrags</w:t>
      </w:r>
    </w:p>
    <w:p>
      <w:r>
        <w:rPr>
          <w:color w:val="555555"/>
          <w:sz w:val="18"/>
        </w:rPr>
        <w:t xml:space="preserve">Insolvenzordnung</w:t>
      </w:r>
    </w:p>
    <w:p>
      <w:r>
        <w:rPr>
          <w:color w:val="555555"/>
          <w:sz w:val="18"/>
        </w:rPr>
        <w:t xml:space="preserve">Stand: 10.06.2019 (konsolidierte Textfassung, kein amtliches Inkrafttretensdatum)</w:t>
      </w:r>
    </w:p>
    <w:p>
      <w:r>
        <w:t xml:space="preserve">(1) Die Kosten der Feststellung umfassen die Kosten der tatsächlichen Feststellung des Gegenstands und der Feststellung der Rechte an diesem. Sie sind pauschal mit vier vom Hundert des Verwertungserlöses anzusetzen.</w:t>
      </w:r>
    </w:p>
    <w:p>
      <w:r>
        <w:t xml:space="preserve">(2) Als Kosten der Verwertung sind pauschal fünf vom Hundert des Verwertungserlöses anzusetzen. Lagen die tatsächlich entstandenen, für die Verwertung erforderlichen Kosten erheblich niedriger oder erheblich höher, so sind diese Kosten anzusetzen. Führt die Verwertung zu einer Belastung der Masse mit Umsatzsteuer, so ist der Umsatzsteuerbetrag zusätzlich zu der Pauschale nach Satz 1 oder den tatsächlich entstandenen Kosten nach Satz 2 anzusetzen.</w:t>
      </w:r>
    </w:p>
    <w:p>
      <w:r>
        <w:rPr>
          <w:color w:val="555555"/>
          <w:sz w:val="17"/>
        </w:rPr>
        <w:t xml:space="preserve">Zitiervorschlag: § 171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