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InsO — Zahlungsunfähigkeit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Allgemeiner Eröffnungsgrund ist die Zahlungsunfähigkeit.</w:t>
      </w:r>
    </w:p>
    <w:p>
      <w:r>
        <w:t xml:space="preserve">(2) Der Schuldner ist zahlungsunfähig, wenn er nicht in der Lage ist, die fälligen Zahlungspflichten zu erfüllen. Zahlungsunfähigkeit ist in der Regel anzunehmen, wenn der Schuldner seine Zahlungen eingestellt hat.</w:t>
      </w:r>
    </w:p>
    <w:p>
      <w:r>
        <w:rPr>
          <w:color w:val="555555"/>
          <w:sz w:val="17"/>
        </w:rPr>
        <w:t xml:space="preserve">Zitiervorschlag: § 17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