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167 InsO — Unterrichtung des Gläubigers</w:t>
      </w:r>
    </w:p>
    <w:p>
      <w:r>
        <w:rPr>
          <w:color w:val="555555"/>
          <w:sz w:val="18"/>
        </w:rPr>
        <w:t xml:space="preserve">Insolvenzordnung</w:t>
      </w:r>
    </w:p>
    <w:p>
      <w:r>
        <w:rPr>
          <w:color w:val="555555"/>
          <w:sz w:val="18"/>
        </w:rPr>
        <w:t xml:space="preserve">Stand: 10.06.2019 (konsolidierte Textfassung, kein amtliches Inkrafttretensdatum)</w:t>
      </w:r>
    </w:p>
    <w:p>
      <w:r>
        <w:t xml:space="preserve">(1) Ist der Insolvenzverwalter nach § 166 Abs. 1 zur Verwertung einer beweglichen Sache berechtigt, so hat er dem absonderungsberechtigten Gläubiger auf dessen Verlangen Auskunft über den Zustand der Sache zu erteilen. Anstelle der Auskunft kann er dem Gläubiger gestatten, die Sache zu besichtigen.</w:t>
      </w:r>
    </w:p>
    <w:p>
      <w:r>
        <w:t xml:space="preserve">(2) Ist der Verwalter nach § 166 Abs. 2 zur Einziehung einer Forderung berechtigt, so hat er dem absonderungsberechtigten Gläubiger auf dessen Verlangen Auskunft über die Forderung zu erteilen. Anstelle der Auskunft kann er dem Gläubiger gestatten, Einsicht in die Bücher und Geschäftspapiere des Schuldners zu nehmen.</w:t>
      </w:r>
    </w:p>
    <w:p>
      <w:r>
        <w:rPr>
          <w:color w:val="555555"/>
          <w:sz w:val="17"/>
        </w:rPr>
        <w:t xml:space="preserve">Zitiervorschlag: § 167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