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166 InsO — Verwertung beweglicher Gegenstände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Insolvenzverwalter darf eine bewegliche Sache, an der ein Absonderungsrecht besteht, freihändig verwerten, wenn er die Sache in seinem Besitz hat.</w:t>
      </w:r>
    </w:p>
    <w:p>
      <w:r>
        <w:t xml:space="preserve">(2) Der Verwalter darf eine Forderung, die der Schuldner zur Sicherung eines Anspruchs abgetreten hat, einziehen oder in anderer Weise verwerten.</w:t>
      </w:r>
    </w:p>
    <w:p>
      <w:r>
        <w:t xml:space="preserve">(3) Die Absätze 1 und 2 finden keine Anwendung</w:t>
      </w:r>
    </w:p>
    <w:p>
      <w:pPr>
        <w:ind w:left="420"/>
      </w:pPr>
      <w:r>
        <w:t xml:space="preserve">1. auf Gegenstände, an denen eine Sicherheit zu Gunsten des Betreibers oder des Teilnehmers eines Systems nach § 1 Abs. 16 des Kreditwesengesetzes zur Sicherung seiner Ansprüche aus dem System besteht,</w:t>
      </w:r>
    </w:p>
    <w:p>
      <w:pPr>
        <w:ind w:left="420"/>
      </w:pPr>
      <w:r>
        <w:t xml:space="preserve">2. auf Gegenstände, an denen eine Sicherheit zu Gunsten der Zentralbank eines Mitgliedstaats der Europäischen Union oder Vertragsstaats des Europäischen Wirtschaftsraums oder zu Gunsten der Europäischen Zentralbank besteht, und</w:t>
      </w:r>
    </w:p>
    <w:p>
      <w:pPr>
        <w:ind w:left="420"/>
      </w:pPr>
      <w:r>
        <w:t xml:space="preserve">3. auf eine Finanzsicherheit im Sinne des § 1 Abs. 17 des Kreditwesengesetzes.</w:t>
      </w:r>
    </w:p>
    <w:p>
      <w:r>
        <w:rPr>
          <w:color w:val="555555"/>
          <w:sz w:val="17"/>
        </w:rPr>
        <w:t xml:space="preserve">Zitiervorschlag: § 166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