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165 InsO — Verwertung unbeweglicher Gegenstände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Insolvenzverwalter kann beim zuständigen Gericht die Zwangsversteigerung oder die Zwangsverwaltung eines unbeweglichen Gegenstands der Insolvenzmasse betreiben, auch wenn an dem Gegenstand ein Absonderungsrecht besteht.</w:t>
      </w:r>
    </w:p>
    <w:p>
      <w:r>
        <w:rPr>
          <w:color w:val="555555"/>
          <w:sz w:val="17"/>
        </w:rPr>
        <w:t xml:space="preserve">Zitiervorschlag: § 165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https://recht.nulegal.eu/gesetze/InsO/165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