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InsO — Maßnahmen vor der Entscheidung</w:t>
      </w:r>
    </w:p>
    <w:p>
      <w:r>
        <w:rPr>
          <w:color w:val="555555"/>
          <w:sz w:val="18"/>
        </w:rPr>
        <w:t xml:space="preserve">Insolvenzordnung</w:t>
      </w:r>
    </w:p>
    <w:p>
      <w:r>
        <w:rPr>
          <w:color w:val="555555"/>
          <w:sz w:val="18"/>
        </w:rPr>
        <w:t xml:space="preserve">Stand: 10.06.2019 (konsolidierte Textfassung, kein amtliches Inkrafttretensdatum)</w:t>
      </w:r>
    </w:p>
    <w:p>
      <w:r>
        <w:t xml:space="preserve">(1) Will der Insolvenzverwalter vor dem Berichtstermin das Unternehmen des Schuldners stillegen oder veräußern, so hat er die Zustimmung des Gläubigerausschusses einzuholen, wenn ein solcher bestellt ist.</w:t>
      </w:r>
    </w:p>
    <w:p>
      <w:r>
        <w:t xml:space="preserve">(2) Vor der Beschlußfassung des Gläubigerausschusses oder, wenn ein solcher nicht bestellt ist, vor der Stillegung oder Veräußerung des Unternehmens hat der Verwalter den Schuldner zu unterrichten. Das Insolvenzgericht untersagt auf Antrag des Schuldners und nach Anhörung des Verwalters die Stillegung oder Veräußerung, wenn diese ohne eine erhebliche Verminderung der Insolvenzmasse bis zum Berichtstermin aufgeschoben werden kann.</w:t>
      </w:r>
    </w:p>
    <w:p>
      <w:r>
        <w:rPr>
          <w:color w:val="555555"/>
          <w:sz w:val="17"/>
        </w:rPr>
        <w:t xml:space="preserve">Zitiervorschlag: § 158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