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157 InsO — Entscheidung über den Fortgang des Verfahrens</w:t>
      </w:r>
    </w:p>
    <w:p>
      <w:r>
        <w:rPr>
          <w:color w:val="555555"/>
          <w:sz w:val="18"/>
        </w:rPr>
        <w:t xml:space="preserve">Insolvenzordnung</w:t>
      </w:r>
    </w:p>
    <w:p>
      <w:r>
        <w:rPr>
          <w:color w:val="555555"/>
          <w:sz w:val="18"/>
        </w:rPr>
        <w:t xml:space="preserve">Stand: 10.06.2019 (konsolidierte Textfassung, kein amtliches Inkrafttretensdatum)</w:t>
      </w:r>
    </w:p>
    <w:p>
      <w:r>
        <w:t xml:space="preserve">Die Gläubigerversammlung beschließt im Berichtstermin, ob das Unternehmen des Schuldners stillgelegt oder vorläufig fortgeführt werden soll. Sie kann den Verwalter beauftragen, einen Insolvenzplan auszuarbeiten, und ihm das Ziel des Plans vorgeben. Sie kann ihre Entscheidungen in späteren Terminen ändern.</w:t>
      </w:r>
    </w:p>
    <w:p>
      <w:r>
        <w:rPr>
          <w:color w:val="555555"/>
          <w:sz w:val="17"/>
        </w:rPr>
        <w:t xml:space="preserve">Zitiervorschlag: § 157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