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156 InsO — Berichtstermin</w:t>
      </w:r>
    </w:p>
    <w:p>
      <w:r>
        <w:rPr>
          <w:color w:val="555555"/>
          <w:sz w:val="18"/>
        </w:rPr>
        <w:t xml:space="preserve">Insolvenzordnung</w:t>
      </w:r>
    </w:p>
    <w:p>
      <w:r>
        <w:rPr>
          <w:color w:val="555555"/>
          <w:sz w:val="18"/>
        </w:rPr>
        <w:t xml:space="preserve">Stand: 10.06.2019 (konsolidierte Textfassung, kein amtliches Inkrafttretensdatum)</w:t>
      </w:r>
    </w:p>
    <w:p>
      <w:r>
        <w:t xml:space="preserve">(1) Im Berichtstermin hat der Insolvenzverwalter über die wirtschaftliche Lage des Schuldners und ihre Ursachen zu berichten. Er hat darzulegen, ob Aussichten bestehen, das Unternehmen des Schuldners im ganzen oder in Teilen zu erhalten, welche Möglichkeiten für einen Insolvenzplan bestehen und welche Auswirkungen jeweils für die Befriedigung der Gläubiger eintreten würden.</w:t>
      </w:r>
    </w:p>
    <w:p>
      <w:r>
        <w:t xml:space="preserve">(2) Dem Schuldner, dem Gläubigerausschuß, dem Betriebsrat und dem Sprecherausschuß der leitenden Angestellten ist im Berichtstermin Gelegenheit zu geben, zu dem Bericht des Verwalters Stellung zu nehmen. Ist der Schuldner Handels- oder Gewerbetreibender oder Landwirt, so kann auch der zuständigen amtlichen Berufsvertretung der Industrie, des Handels, des Handwerks oder der Landwirtschaft im Termin Gelegenheit zur Äußerung gegeben werden.</w:t>
      </w:r>
    </w:p>
    <w:p>
      <w:r>
        <w:rPr>
          <w:color w:val="555555"/>
          <w:sz w:val="17"/>
        </w:rPr>
        <w:t xml:space="preserve">Zitiervorschlag: § 156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