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155 InsO — Handels- und steuerrechtliche Rechnungslegung</w:t>
      </w:r>
    </w:p>
    <w:p>
      <w:r>
        <w:rPr>
          <w:color w:val="555555"/>
          <w:sz w:val="18"/>
        </w:rPr>
        <w:t xml:space="preserve">Insolvenzordnung</w:t>
      </w:r>
    </w:p>
    <w:p>
      <w:r>
        <w:rPr>
          <w:color w:val="555555"/>
          <w:sz w:val="18"/>
        </w:rPr>
        <w:t xml:space="preserve">Stand: 10.06.2019 (konsolidierte Textfassung, kein amtliches Inkrafttretensdatum)</w:t>
      </w:r>
    </w:p>
    <w:p>
      <w:r>
        <w:t xml:space="preserve">(1) Handels- und steuerrechtliche Pflichten des Schuldners zur Buchführung und zur Rechnungslegung bleiben unberührt. In bezug auf die Insolvenzmasse hat der Insolvenzverwalter diese Pflichten zu erfüllen.</w:t>
      </w:r>
    </w:p>
    <w:p>
      <w:r>
        <w:t xml:space="preserve">(2) Mit der Eröffnung des Insolvenzverfahrens beginnt ein neues Geschäftsjahr. Jedoch wird die Zeit bis zum Berichtstermin in gesetzliche Fristen für die Aufstellung oder die Offenlegung eines Jahresabschlusses nicht eingerechnet.</w:t>
      </w:r>
    </w:p>
    <w:p>
      <w:r>
        <w:t xml:space="preserve">(3) Für die Bestellung des Abschlußprüfers im Insolvenzverfahren gilt § 318 des Handelsgesetzbuchs mit der Maßgabe, daß die Bestellung ausschließlich durch das Registergericht auf Antrag des Verwalters erfolgt. Ist für das Geschäftsjahr vor der Eröffnung des Verfahrens bereits ein Abschlußprüfer bestellt, so wird die Wirksamkeit dieser Bestellung durch die Eröffnung nicht berührt.</w:t>
      </w:r>
    </w:p>
    <w:p>
      <w:r>
        <w:rPr>
          <w:color w:val="555555"/>
          <w:sz w:val="17"/>
        </w:rPr>
        <w:t xml:space="preserve">Zitiervorschlag: § 155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