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InsO — Gläubigerverzeichnis</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ein Verzeichnis aller Gläubiger des Schuldners aufzustellen, die ihm aus den Büchern und Geschäftspapieren des Schuldners, durch sonstige Angaben des Schuldners, durch die Anmeldung ihrer Forderungen oder auf andere Weise bekannt geworden sind.</w:t>
      </w:r>
    </w:p>
    <w:p>
      <w:r>
        <w:t xml:space="preserve">(2) In dem Verzeichnis sind die absonderungsberechtigten Gläubiger und die einzelnen Rangklassen der nachrangigen Insolvenzgläubiger gesondert aufzuführen. Bei jedem Gläubiger sind die Anschrift sowie der Grund und der Betrag seiner Forderung anzugeben. Bei den absonderungsberechtigten Gläubigern sind zusätzlich der Gegenstand, an dem das Absonderungsrecht besteht, und die Höhe des mutmaßlichen Ausfalls zu bezeichnen; § 151 Abs. 2 Satz 2 gilt entsprechend.</w:t>
      </w:r>
    </w:p>
    <w:p>
      <w:r>
        <w:t xml:space="preserve">(3) Weiter ist anzugeben, welche Möglichkeiten der Aufrechnung bestehen. Die Höhe der Masseverbindlichkeiten im Falle einer zügigen Verwertung des Vermögens des Schuldners ist zu schätzen.</w:t>
      </w:r>
    </w:p>
    <w:p>
      <w:r>
        <w:rPr>
          <w:color w:val="555555"/>
          <w:sz w:val="17"/>
        </w:rPr>
        <w:t xml:space="preserve">Zitiervorschlag: § 152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