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150 InsO — Siegelung</w:t>
      </w:r>
    </w:p>
    <w:p>
      <w:r>
        <w:rPr>
          <w:color w:val="555555"/>
          <w:sz w:val="18"/>
        </w:rPr>
        <w:t xml:space="preserve">Insolvenzordnung</w:t>
      </w:r>
    </w:p>
    <w:p>
      <w:r>
        <w:rPr>
          <w:color w:val="555555"/>
          <w:sz w:val="18"/>
        </w:rPr>
        <w:t xml:space="preserve">Stand: 10.06.2019 (konsolidierte Textfassung, kein amtliches Inkrafttretensdatum)</w:t>
      </w:r>
    </w:p>
    <w:p>
      <w:r>
        <w:t xml:space="preserve">Der Insolvenzverwalter kann zur Sicherung der Sachen, die zur Insolvenzmasse gehören, durch den Gerichtsvollzieher oder eine andere dazu gesetzlich ermächtigte Person Siegel anbringen lassen. Das Protokoll über eine Siegelung oder Entsiegelung hat der Verwalter auf der Geschäftsstelle zur Einsicht der Beteiligten niederzulegen.</w:t>
      </w:r>
    </w:p>
    <w:p>
      <w:r>
        <w:rPr>
          <w:color w:val="555555"/>
          <w:sz w:val="17"/>
        </w:rPr>
        <w:t xml:space="preserve">Zitiervorschlag: § 150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