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InsO — Übernahme der Insolvenzmasse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der Eröffnung des Insolvenzverfahrens hat der Insolvenzverwalter das gesamte zur Insolvenzmasse gehörende Vermögen sofort in Besitz und Verwaltung zu nehmen.</w:t>
      </w:r>
    </w:p>
    <w:p>
      <w:r>
        <w:t xml:space="preserve">(2) Der Verwalter kann auf Grund einer vollstreckbaren Ausfertigung des Eröffnungsbeschlusses die Herausgabe der Sachen, die sich im Gewahrsam des Schuldners befinden, im Wege der Zwangsvollstreckung durchsetzen. § 766 der Zivilprozeßordnung gilt mit der Maßgabe, daß an die Stelle des Vollstreckungsgerichts das Insolvenzgericht tritt.</w:t>
      </w:r>
    </w:p>
    <w:p>
      <w:r>
        <w:rPr>
          <w:color w:val="555555"/>
          <w:sz w:val="17"/>
        </w:rPr>
        <w:t xml:space="preserve">Zitiervorschlag: § 148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