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146 InsO — Verjährung des Anfechtungsanspruchs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Verjährung des Anfechtungsanspruchs richtet sich nach den Regelungen über die regelmäßige Verjährung nach dem Bürgerlichen Gesetzbuch.</w:t>
      </w:r>
    </w:p>
    <w:p>
      <w:r>
        <w:t xml:space="preserve">(2) Auch wenn der Anfechtungsanspruch verjährt ist, kann der Insolvenzverwalter die Erfüllung einer Leistungspflicht verweigern, die auf einer anfechtbaren Handlung beruht.</w:t>
      </w:r>
    </w:p>
    <w:p>
      <w:r>
        <w:rPr>
          <w:color w:val="555555"/>
          <w:sz w:val="17"/>
        </w:rPr>
        <w:t xml:space="preserve">Zitiervorschlag: § 146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