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InsO — Antrag eines Gläubigers</w:t>
      </w:r>
    </w:p>
    <w:p>
      <w:r>
        <w:rPr>
          <w:color w:val="555555"/>
          <w:sz w:val="18"/>
        </w:rPr>
        <w:t xml:space="preserve">Insolvenzordnung</w:t>
      </w:r>
    </w:p>
    <w:p>
      <w:r>
        <w:rPr>
          <w:color w:val="555555"/>
          <w:sz w:val="18"/>
        </w:rPr>
        <w:t xml:space="preserve">Stand: 01.01.2021 (konsolidierte Textfassung, kein amtliches Inkrafttretensdatum)</w:t>
      </w:r>
    </w:p>
    <w:p>
      <w:r>
        <w:t xml:space="preserve">(1) Der Antrag eines Gläubigers ist zulässig, wenn der Gläubiger ein rechtliches Interesse an der Eröffnung des Insolvenzverfahrens hat und seine Forderung und den Eröffnungsgrund glaubhaft macht. Der Antrag wird nicht allein dadurch unzulässig, dass die Forderung erfüllt wird.</w:t>
      </w:r>
    </w:p>
    <w:p>
      <w:r>
        <w:t xml:space="preserve">(2) Ist der Antrag zulässig, so hat das Insolvenzgericht den Schuldner zu hören.</w:t>
      </w:r>
    </w:p>
    <w:p>
      <w:r>
        <w:t xml:space="preserve">(3) Wird die Forderung des Gläubigers nach Antragstellung erfüllt, so hat der Schuldner die Kosten des Verfahrens zu tragen, wenn der Antrag als unbegründet abgewiesen wird. Der Schuldner hat die Kosten auch dann zu tragen, wenn der Antrag eines Gläubigers wegen einer zum Zeitpunkt der Antragstellung wirksamen nichtöffentlichen Stabilisierungsanordnung nach dem Unternehmensstabilisierungs- und -restrukturierungsgesetz abgewiesen wird und der Gläubiger von der Stabilisierungsanordnung keine Kenntnis haben konnte.</w:t>
      </w:r>
    </w:p>
    <w:p>
      <w:r>
        <w:rPr>
          <w:color w:val="555555"/>
          <w:sz w:val="17"/>
        </w:rPr>
        <w:t xml:space="preserve">Zitiervorschlag: § 14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