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 InsO — Berechnung der Fristen vor dem Eröffnungsantrag</w:t>
      </w:r>
    </w:p>
    <w:p>
      <w:r>
        <w:rPr>
          <w:color w:val="555555"/>
          <w:sz w:val="18"/>
        </w:rPr>
        <w:t xml:space="preserve">Insolvenzordnung</w:t>
      </w:r>
    </w:p>
    <w:p>
      <w:r>
        <w:rPr>
          <w:color w:val="555555"/>
          <w:sz w:val="18"/>
        </w:rPr>
        <w:t xml:space="preserve">Stand: 10.06.2019 (konsolidierte Textfassung, kein amtliches Inkrafttretensdatum)</w:t>
      </w:r>
    </w:p>
    <w:p>
      <w:r>
        <w:t xml:space="preserve">(1) Die in den §§ 88, 130 bis 136 bestimmten Fristen beginnen mit dem Anfang des Tages, der durch seine Zahl dem Tag entspricht, an dem der Antrag auf Eröffnung des Insolvenzverfahrens beim Insolvenzgericht eingegangen ist. Fehlt ein solcher Tag, so beginnt die Frist mit dem Anfang des folgenden Tages.</w:t>
      </w:r>
    </w:p>
    <w:p>
      <w:r>
        <w:t xml:space="preserve">(2) Sind mehrere Eröffnungsanträge gestellt worden, so ist der erste zulässige und begründete Antrag maßgeblich, auch wenn das Verfahren auf Grund eines späteren Antrags eröffnet worden ist. Ein rechtskräftig abgewiesener Antrag wird nur berücksichtigt, wenn er mangels Masse abgewiesen worden ist.</w:t>
      </w:r>
    </w:p>
    <w:p>
      <w:r>
        <w:rPr>
          <w:color w:val="555555"/>
          <w:sz w:val="17"/>
        </w:rPr>
        <w:t xml:space="preserve">Zitiervorschlag: § 139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