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InsO — Betriebsveräußerung</w:t>
      </w:r>
    </w:p>
    <w:p>
      <w:r>
        <w:rPr>
          <w:color w:val="555555"/>
          <w:sz w:val="18"/>
        </w:rPr>
        <w:t xml:space="preserve">Insolvenzordnung</w:t>
      </w:r>
    </w:p>
    <w:p>
      <w:r>
        <w:rPr>
          <w:color w:val="555555"/>
          <w:sz w:val="18"/>
        </w:rPr>
        <w:t xml:space="preserve">Stand: 10.06.2019 (konsolidierte Textfassung, kein amtliches Inkrafttretensdatum)</w:t>
      </w:r>
    </w:p>
    <w:p>
      <w:r>
        <w:t xml:space="preserve">(1) Die Anwendung der §§ 125 bis 127 wird nicht dadurch ausgeschlossen, daß die Betriebsänderung, die dem Interessenausgleich oder dem Feststellungsantrag zugrundeliegt, erst nach einer Betriebsveräußerung durchgeführt werden soll. An dem Verfahren nach § 126 ist der Erwerber des Betriebs beteiligt.</w:t>
      </w:r>
    </w:p>
    <w:p>
      <w:r>
        <w:t xml:space="preserve">(2) Im Falle eines Betriebsübergangs erstreckt sich die Vermutung nach § 125 Abs. 1 Satz 1 Nr. 1 oder die gerichtliche Feststellung nach § 126 Abs. 1 Satz 1 auch darauf, daß die Kündigung der Arbeitsverhältnisse nicht wegen des Betriebsübergangs erfolgt.</w:t>
      </w:r>
    </w:p>
    <w:p>
      <w:r>
        <w:rPr>
          <w:color w:val="555555"/>
          <w:sz w:val="17"/>
        </w:rPr>
        <w:t xml:space="preserve">Zitiervorschlag: § 128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