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InsO — Interessenausgleich und Kündigungsschutz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Betriebsänderung (§ 111 des Betriebsverfassungsgesetzes) geplant und kommt zwischen Insolvenzverwalter und Betriebsrat ein Interessenausgleich zustande, in dem die Arbeitnehmer, denen gekündigt werden soll, namentlich bezeichnet sind, so ist § 1 des Kündigungsschutzgesetzes mit folgenden Maßgaben anzuwenden:</w:t>
      </w:r>
    </w:p>
    <w:p>
      <w:pPr>
        <w:ind w:left="420"/>
      </w:pPr>
      <w:r>
        <w:t xml:space="preserve">1. es wird vermutet, daß die Kündigung der Arbeitsverhältnisse der bezeichneten Arbeitnehmer durch dringende betriebliche Erfordernisse, die einer Weiterbeschäftigung in diesem Betrieb oder einer Weiterbeschäftigung zu unveränderten Arbeitsbedingungen entgegenstehen, bedingt ist;</w:t>
      </w:r>
    </w:p>
    <w:p>
      <w:pPr>
        <w:ind w:left="420"/>
      </w:pPr>
      <w:r>
        <w:t xml:space="preserve">2. die soziale Auswahl der Arbeitnehmer kann nur im Hinblick auf die Dauer der Betriebszugehörigkeit, das Lebensalter und die Unterhaltspflichten und auch insoweit nur auf grobe Fehlerhaftigkeit nachgeprüft werden; sie ist nicht als grob fehlerhaft anzusehen, wenn eine ausgewogene Personalstruktur erhalten oder geschaffen wird.</w:t>
      </w:r>
    </w:p>
    <w:p>
      <w:r>
        <w:t xml:space="preserve">Satz 1 gilt nicht, soweit sich die Sachlage nach Zustandekommen des Interessenausgleichs wesentlich geändert hat.</w:t>
      </w:r>
    </w:p>
    <w:p>
      <w:r>
        <w:t xml:space="preserve">(2) Der Interessenausgleich nach Absatz 1 ersetzt die Stellungnahme des Betriebsrats nach § 17 Abs. 3 Satz 2 des Kündigungsschutzgesetzes.</w:t>
      </w:r>
    </w:p>
    <w:p>
      <w:r>
        <w:rPr>
          <w:color w:val="555555"/>
          <w:sz w:val="17"/>
        </w:rPr>
        <w:t xml:space="preserve">Zitiervorschlag: § 125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