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InsO — Erlöschen von Vollmachten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vom Schuldner erteilte Vollmacht, die sich auf das zur Insolvenzmasse gehörende Vermögen bezieht, erlischt durch die Eröffnung des Insolvenzverfahrens.</w:t>
      </w:r>
    </w:p>
    <w:p>
      <w:r>
        <w:t xml:space="preserve">(2) Soweit ein Auftrag oder ein Geschäftsbesorgungsvertrag nach § 115 Abs. 2 fortbesteht, gilt auch die Vollmacht als fortbestehend.</w:t>
      </w:r>
    </w:p>
    <w:p>
      <w:r>
        <w:t xml:space="preserve">(3) Solange der Bevollmächtigte die Eröffnung des Verfahrens ohne Verschulden nicht kennt, haftet er nicht nach § 179 des Bürgerlichen Gesetzbuchs.</w:t>
      </w:r>
    </w:p>
    <w:p>
      <w:r>
        <w:rPr>
          <w:color w:val="555555"/>
          <w:sz w:val="17"/>
        </w:rPr>
        <w:t xml:space="preserve">Zitiervorschlag: § 117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