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InsO — Kündigungssperre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Miet- oder Pachtverhältnis, das der Schuldner als Mieter oder Pächter eingegangen war, kann der andere Teil nach dem Antrag auf Eröffnung des Insolvenzverfahrens nicht kündigen:</w:t>
      </w:r>
    </w:p>
    <w:p>
      <w:pPr>
        <w:ind w:left="420"/>
      </w:pPr>
      <w:r>
        <w:t xml:space="preserve">1. wegen eines Verzugs mit der Entrichtung der Miete oder Pacht, der in der Zeit vor dem Eröffnungsantrag eingetreten ist;</w:t>
      </w:r>
    </w:p>
    <w:p>
      <w:pPr>
        <w:ind w:left="420"/>
      </w:pPr>
      <w:r>
        <w:t xml:space="preserve">2. wegen einer Verschlechterung der Vermögensverhältnisse des Schuldners.</w:t>
      </w:r>
    </w:p>
    <w:p>
      <w:r>
        <w:rPr>
          <w:color w:val="555555"/>
          <w:sz w:val="17"/>
        </w:rPr>
        <w:t xml:space="preserve">Zitiervorschlag: § 112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