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 InsO — Veräußerung des Miet- oder Pachtobjekts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19.11.2025 (konsolidierte Textfassung, kein amtliches Inkrafttretensdatum)</w:t>
      </w:r>
    </w:p>
    <w:p>
      <w:r>
        <w:t xml:space="preserve">Veräußert der Insolvenzverwalter einen unbeweglichen Gegenstand oder Räume, die der Schuldner vermietet oder verpachtet hatte, und tritt der Erwerber anstelle des Schuldners in das Miet- oder Pachtverhältnis ein, so kann der Erwerber das Miet- oder Pachtverhältnis unter Einhaltung der gesetzlichen Frist kündigen. Die Kündigung kann nur für den ersten Termin erfolgen, für den sie zulässig ist.</w:t>
      </w:r>
    </w:p>
    <w:p>
      <w:r>
        <w:rPr>
          <w:color w:val="555555"/>
          <w:sz w:val="17"/>
        </w:rPr>
        <w:t xml:space="preserve">Zitiervorschlag: § 111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