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108 InsO — Fortbestehen bestimmter Schuldverhältnisse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Miet- und Pachtverhältnisse des Schuldners über unbewegliche Gegenstände oder Räume sowie Dienstverhältnisse des Schuldners bestehen mit Wirkung für die Insolvenzmasse fort. Dies gilt auch für Miet- und Pachtverhältnisse, die der Schuldner als Vermieter oder Verpächter eingegangen war und die sonstige Gegenstände betreffen, die einem Dritten, der ihre Anschaffung oder Herstellung finanziert hat, zur Sicherheit übertragen wurden.</w:t>
      </w:r>
    </w:p>
    <w:p>
      <w:r>
        <w:t xml:space="preserve">(2) Ein vom Schuldner als Darlehensgeber eingegangenes Darlehensverhältnis besteht mit Wirkung für die Masse fort, soweit dem Darlehensnehmer der geschuldete Gegenstand zur Verfügung gestellt wurde.</w:t>
      </w:r>
    </w:p>
    <w:p>
      <w:r>
        <w:t xml:space="preserve">(3) Ansprüche für die Zeit vor der Eröffnung des Insolvenzverfahrens kann der andere Teil nur als Insolvenzgläubiger geltend machen.</w:t>
      </w:r>
    </w:p>
    <w:p>
      <w:r>
        <w:rPr>
          <w:color w:val="555555"/>
          <w:sz w:val="17"/>
        </w:rPr>
        <w:t xml:space="preserve">Zitiervorschlag: § 108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https://recht.nulegal.eu/gesetze/InsO/108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