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106 InsO — Vormerkung</w:t>
      </w:r>
    </w:p>
    <w:p>
      <w:r>
        <w:rPr>
          <w:color w:val="555555"/>
          <w:sz w:val="18"/>
        </w:rPr>
        <w:t xml:space="preserve">Insolvenzordnung</w:t>
      </w:r>
    </w:p>
    <w:p>
      <w:r>
        <w:rPr>
          <w:color w:val="555555"/>
          <w:sz w:val="18"/>
        </w:rPr>
        <w:t xml:space="preserve">Stand: 10.06.2019 (konsolidierte Textfassung, kein amtliches Inkrafttretensdatum)</w:t>
      </w:r>
    </w:p>
    <w:p>
      <w:r>
        <w:t xml:space="preserve">(1) Ist zur Sicherung eines Anspruchs auf Einräumung oder Aufhebung eines Rechts an einem Grundstück des Schuldners oder an einem für den Schuldner eingetragenen Recht oder zur Sicherung eines Anspruchs auf Änderung des Inhalts oder des Ranges eines solchen Rechts eine Vormerkung im Grundbuch eingetragen, so kann der Gläubiger für seinen Anspruch Befriedigung aus der Insolvenzmasse verlangen. Dies gilt auch, wenn der Schuldner dem Gläubiger gegenüber weitere Verpflichtungen übernommen hat und diese nicht oder nicht vollständig erfüllt sind.</w:t>
      </w:r>
    </w:p>
    <w:p>
      <w:r>
        <w:t xml:space="preserve">(2) Für eine Vormerkung, die im Schiffsregister, Schiffsbauregister oder Register für Pfandrechte an Luftfahrzeugen eingetragen ist, gilt Absatz 1 entsprechend.</w:t>
      </w:r>
    </w:p>
    <w:p>
      <w:r>
        <w:rPr>
          <w:color w:val="555555"/>
          <w:sz w:val="17"/>
        </w:rPr>
        <w:t xml:space="preserve">Zitiervorschlag: § 106 InsO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https://recht.nulegal.eu/gesetze/InsO/106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