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InsO — Fixgeschäfte, Finanzleistungen, vertragliches Liquidationsnetting</w:t>
      </w:r>
    </w:p>
    <w:p>
      <w:r>
        <w:rPr>
          <w:color w:val="555555"/>
          <w:sz w:val="18"/>
        </w:rPr>
        <w:t xml:space="preserve">Insolvenzordnung</w:t>
      </w:r>
    </w:p>
    <w:p>
      <w:r>
        <w:rPr>
          <w:color w:val="555555"/>
          <w:sz w:val="18"/>
        </w:rPr>
        <w:t xml:space="preserve">Stand: 10.06.2019 (konsolidierte Textfassung, kein amtliches Inkrafttretensdatum)</w:t>
      </w:r>
    </w:p>
    <w:p>
      <w:r>
        <w:t xml:space="preserve">(1) War die Lieferung von Waren, die einen Markt- oder Börsenpreis haben, genau zu einer festbestimmten Zeit oder innerhalb einer festbestimmten Frist vereinbart und tritt die Zeit oder der Ablauf der Frist erst nach Eröffnung des Insolvenzverfahrens ein, so kann nicht Erfüllung verlangt, sondern nur eine Forderung wegen Nichterfüllung geltend gemacht werden. Dies gilt auch für Geschäfte über Finanzleistungen, die einen Markt- oder Börsenpreis haben und für die eine bestimmte Zeit oder eine bestimmte Frist vereinbart war, die nach der Eröffnung des Verfahrens eintritt oder abläuft. Als Finanzleistungen gelten insbesondere</w:t>
      </w:r>
    </w:p>
    <w:p>
      <w:pPr>
        <w:ind w:left="420"/>
      </w:pPr>
      <w:r>
        <w:t xml:space="preserve">1. die Lieferung von Edelmetallen,</w:t>
      </w:r>
    </w:p>
    <w:p>
      <w:pPr>
        <w:ind w:left="420"/>
      </w:pPr>
      <w:r>
        <w:t xml:space="preserve">2. die Lieferung von Finanzinstrumenten oder vergleichbaren Rechten, soweit nicht der Erwerb einer Beteiligung an einem Unternehmen zur Herstellung einer dauernden Verbindung beabsichtigt ist,</w:t>
      </w:r>
    </w:p>
    <w:p>
      <w:pPr>
        <w:ind w:left="420"/>
      </w:pPr>
      <w:r>
        <w:t xml:space="preserve">3. Geldleistungen,</w:t>
      </w:r>
    </w:p>
    <w:p>
      <w:pPr>
        <w:ind w:left="780"/>
      </w:pPr>
      <w:r>
        <w:t xml:space="preserve">a) die in ausländischer Währung oder in einer Rechnungseinheit zu erbringen sind oder</w:t>
      </w:r>
    </w:p>
    <w:p>
      <w:pPr>
        <w:ind w:left="780"/>
      </w:pPr>
      <w:r>
        <w:t xml:space="preserve">b) deren Höhe unmittelbar oder mittelbar durch den Kurs einer ausländischen Währung oder einer Rechnungseinheit, durch den Zinssatz von Forderungen oder durch den Preis anderer Güter oder Leistungen bestimmt wird,</w:t>
      </w:r>
    </w:p>
    <w:p>
      <w:pPr>
        <w:ind w:left="420"/>
      </w:pPr>
      <w:r>
        <w:t xml:space="preserve">4. von Nummer 2 nicht ausgeschlossene Lieferungen und Geldleistungen aus derivativen Finanzinstrumenten,</w:t>
      </w:r>
    </w:p>
    <w:p>
      <w:pPr>
        <w:ind w:left="420"/>
      </w:pPr>
      <w:r>
        <w:t xml:space="preserve">5. Optionen und andere Rechte auf Lieferungen nach Satz 1 oder auf Lieferungen, Geldleistungen, Optionen und Rechte im Sinne der Nummern 1 bis 5,</w:t>
      </w:r>
    </w:p>
    <w:p>
      <w:pPr>
        <w:ind w:left="420"/>
      </w:pPr>
      <w:r>
        <w:t xml:space="preserve">6. Finanzsicherheiten im Sinne des § 1 Absatz 17 des Kreditwesengesetzes.</w:t>
      </w:r>
    </w:p>
    <w:p>
      <w:r>
        <w:t xml:space="preserve">Finanzinstrumente im Sinne von Satz 3 Nummer 2 und 4 sind die in Anhang I Abschnitt C der Richtlinie 2014/65/EU des Europäischen Parlaments und des Rates vom 15. Mai 2014 über Märkte für Finanzinstrumente sowie zur Änderung der Richtlinien 2002/92/EG und 2011/61/EU (ABl. L 173 vom 12.6.2014, S. 349; L 74 vom 18.3.2015, S. 38; L 188 vom 13.7.2016, S. 28; L 273 vom 8.10.2016, S. 35), die zuletzt durch die Richtlinie (EU) 2016/1034 (ABl. L 175 vom 30.6.2016, S. 8) geändert worden ist, genannten Instrumente.</w:t>
      </w:r>
    </w:p>
    <w:p>
      <w:r>
        <w:t xml:space="preserve">(2) Die Forderung wegen Nichterfüllung bestimmt sich nach dem Markt- oder Börsenwert des Geschäfts. Als Markt- oder Börsenwert gilt</w:t>
      </w:r>
    </w:p>
    <w:p>
      <w:pPr>
        <w:ind w:left="420"/>
      </w:pPr>
      <w:r>
        <w:t xml:space="preserve">1. der Markt- oder Börsenpreis für ein Ersatzgeschäft, das unverzüglich, spätestens jedoch am fünften Werktag nach der Eröffnung des Verfahrens abgeschlossen wird, oder</w:t>
      </w:r>
    </w:p>
    <w:p>
      <w:pPr>
        <w:ind w:left="420"/>
      </w:pPr>
      <w:r>
        <w:t xml:space="preserve">2. falls kein Ersatzgeschäft nach Nummer 1 abgeschlossen wird, der Markt- oder Börsenpreis für ein Ersatzgeschäft, das am zweiten Werktag nach der Verfahrenseröffnung hätte abgeschlossen werden können.</w:t>
      </w:r>
    </w:p>
    <w:p>
      <w:r>
        <w:t xml:space="preserve">Sofern das Marktgeschehen den Abschluss eines Ersatzgeschäfts nach Satz 2 Nummer 1 oder 2 nicht zulässt, ist der Markt- und Börsenwert nach Methoden und Verfahren zu bestimmen, die Gewähr für eine angemessene Bewertung des Geschäfts bieten.</w:t>
      </w:r>
    </w:p>
    <w:p>
      <w:r>
        <w:t xml:space="preserve">(3) Werden Geschäfte nach Absatz 1 durch einen Rahmenvertrag oder das Regelwerk einer zentralen Gegenpartei im Sinne von § 1 Absatz 31 des Kreditwesengesetzes zu einem einheitlichen Vertrag zusammengefasst, der vorsieht, dass die einbezogenen Geschäfte bei Vorliegen bestimmter Gründe nur einheitlich beendet werden können, gilt die Gesamtheit der einbezogenen Geschäfte als ein Geschäft im Sinne des Absatzes 1. Dies gilt auch dann, wenn zugleich andere Geschäfte einbezogen werden; für letztere gelten die allgemeinen Bestimmungen.</w:t>
      </w:r>
    </w:p>
    <w:p>
      <w:r>
        <w:t xml:space="preserve">(4) Die Vertragsparteien können abweichende Bestimmungen treffen, sofern diese mit den wesentlichen Grundgedanken der jeweiligen gesetzlichen Regelung vereinbar sind, von der abgewichen wird. Sie können insbesondere vereinbaren,</w:t>
      </w:r>
    </w:p>
    <w:p>
      <w:pPr>
        <w:ind w:left="420"/>
      </w:pPr>
      <w:r>
        <w:t xml:space="preserve">1. dass die Wirkungen nach Absatz 1 auch vor der Verfahrenseröffnung eintreten, insbesondere bei Stellung des Antrags einer Vertragspartei auf Eröffnung eines Insolvenzverfahrens über das eigene Vermögen oder bei Vorliegen eines Eröffnungsgrundes (vertragliche Beendigung),</w:t>
      </w:r>
    </w:p>
    <w:p>
      <w:pPr>
        <w:ind w:left="420"/>
      </w:pPr>
      <w:r>
        <w:t xml:space="preserve">2. dass einer vertraglichen Beendigung auch solche Geschäfte nach Absatz 1 unterliegen, bei denen die Ansprüche auf die Lieferung der Ware oder die Erbringung der Finanzleistung vor der Verfahrenseröffnung, aber nach dem für die vertragliche Beendigung vorgesehenen Zeitpunkt fällig werden,</w:t>
      </w:r>
    </w:p>
    <w:p>
      <w:pPr>
        <w:ind w:left="420"/>
      </w:pPr>
      <w:r>
        <w:t xml:space="preserve">3. dass zwecks Bestimmung des Markt- oder Börsenwerts des Geschäfts</w:t>
      </w:r>
    </w:p>
    <w:p>
      <w:pPr>
        <w:ind w:left="780"/>
      </w:pPr>
      <w:r>
        <w:t xml:space="preserve">a) der Zeitpunkt der vertraglichen Beendigung an die Stelle der Verfahrenseröffnung tritt,</w:t>
      </w:r>
    </w:p>
    <w:p>
      <w:pPr>
        <w:ind w:left="780"/>
      </w:pPr>
      <w:r>
        <w:t xml:space="preserve">b) die Vornahme des Ersatzgeschäfts nach Absatz 2 Satz 2 Nummer 1 bis zum Ablauf des 20. Werktags nach der vertraglichen Beendigung erfolgen kann, soweit dies für eine wertschonende Abwicklung erforderlich ist,</w:t>
      </w:r>
    </w:p>
    <w:p>
      <w:pPr>
        <w:ind w:left="780"/>
      </w:pPr>
      <w:r>
        <w:t xml:space="preserve">c) anstelle des in Absatz 2 Satz 2 Nummer 2 genannten Zeitpunkts ein Zeitpunkt oder Zeitraum zwischen der vertraglichen Beendigung und dem Ablauf des fünften darauf folgenden Werktags maßgeblich ist.</w:t>
      </w:r>
    </w:p>
    <w:p>
      <w:r>
        <w:t xml:space="preserve">(5) Der andere Teil kann die Forderung wegen Nichterfüllung nur als Insolvenzgläubiger geltend machen.</w:t>
      </w:r>
    </w:p>
    <w:p>
      <w:r>
        <w:rPr>
          <w:color w:val="555555"/>
          <w:sz w:val="17"/>
        </w:rPr>
        <w:t xml:space="preserve">Zitiervorschlag: § 104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