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InnAusV — Zahlungen</w:t>
      </w:r>
    </w:p>
    <w:p>
      <w:r>
        <w:rPr>
          <w:color w:val="555555"/>
          <w:sz w:val="18"/>
        </w:rPr>
        <w:t xml:space="preserve">Innovationsausschreibungsverordnung</w:t>
      </w:r>
    </w:p>
    <w:p>
      <w:r>
        <w:rPr>
          <w:color w:val="555555"/>
          <w:sz w:val="18"/>
        </w:rPr>
        <w:t xml:space="preserve">Stand: 10.08.2022 (konsolidierte Textfassung, kein amtliches Inkrafttretensdatum)</w:t>
      </w:r>
    </w:p>
    <w:p>
      <w:r>
        <w:t xml:space="preserve">(1) Betreiber von Anlagen oder Anlagenkombinationen, die einen Zuschlag nach dieser Verordnung erhalten haben, haben für den in diesen Anlagen oder Anlagenkombinationen erzeugten Strom gegen den Netzbetreiber einen Anspruch nach § 19 Absatz 1 Nummer 1 des Erneuerbare-Energien-Gesetzes.</w:t>
      </w:r>
    </w:p>
    <w:p>
      <w:r>
        <w:t xml:space="preserve">(2) Bei Anlagenkombinationen, die auch Einrichtungen enthalten, die zwischengespeicherte Energie, die ausschließlich aus erneuerbaren Energien oder Grubengas stammt, aufnehmen und in elektrische Energie umwandeln, besteht der Anspruch nach Absatz 1 nicht für den Strom, der vor der Einspeisung in ein Netz zwischengespeichert worden ist. In diesem Fall bezieht sich der Anspruch auf die Strommenge, die aus dem Stromspeicher in das Netz eingespeist wird.</w:t>
      </w:r>
    </w:p>
    <w:p>
      <w:r>
        <w:t xml:space="preserve">(3) Zahlungen nach Absatz 1 sind für die Dauer von 20 Jahren zu leisten. Der Anspruch beginnt, wenn die Voraussetzungen nach § 2 Nummer 1 erfüllt sind. Abweichend von Satz 1 beträgt die Dauer des Zahlungsanspruchs, wenn eine bestehende Biomasseanlage Teil der Anlagenkombination ist, zehn Jahre.</w:t>
      </w:r>
    </w:p>
    <w:p>
      <w:r>
        <w:t xml:space="preserve">(4) Die Höhe des Anspruchs nach Absatz 1 wird nach Anlage 1 des Erneuerbare-Energien-Gesetzes anhand des energieträgerspezifischen Jahresmarktwerts für solare Strahlungsenergie nach Nummer 4.3.4 berechnet. Wenn die Anlagenkombination mindestens eine Windenergieanlage an Land enthält, ist abweichend von Satz 1 der energieträgerspezifische Jahresmarktwert für Windenergie an Land nach Nummer 4.3.2 der Anlage 1 des Erneuerbare-Energien-Gesetzes zu verwenden.</w:t>
      </w:r>
    </w:p>
    <w:p>
      <w:r>
        <w:rPr>
          <w:color w:val="555555"/>
          <w:sz w:val="17"/>
        </w:rPr>
        <w:t xml:space="preserve">Zitiervorschlag: § 8 InnAusV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https://recht.nulegal.eu/gesetze/InnAusV/8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