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InnAusV — Weitere Anforderungen an Gebote für Anlagenkombinationen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02.10.2021 (konsolidierte Textfassung, kein amtliches Inkrafttretensdatum)</w:t>
      </w:r>
    </w:p>
    <w:p>
      <w:r>
        <w:t xml:space="preserve">(1) Ein Gebot für Anlagenkombinationen darf nur für Anlagen abgegeben werden, die vor dem jeweiligen Gebotstermin noch nicht in Betrieb genommen wurden.</w:t>
      </w:r>
    </w:p>
    <w:p>
      <w:r>
        <w:t xml:space="preserve">(2) Ein Gebot, das für eine Anlagenkombination abgegeben wird, muss</w:t>
      </w:r>
    </w:p>
    <w:p>
      <w:pPr>
        <w:ind w:left="420"/>
      </w:pPr>
      <w:r>
        <w:t xml:space="preserve">1. für jede Anlage der Kombination die jeweils einschlägigen Anforderungen der §§ 36, 36c, 36f, 36i, 37 und 37c oder der §§ 39, 39c, 39f, 39h und 39i Absatz 1 und 2 des Erneuerbare-Energien-Gesetzes erfüllen,</w:t>
      </w:r>
    </w:p>
    <w:p>
      <w:pPr>
        <w:ind w:left="420"/>
      </w:pPr>
      <w:r>
        <w:t xml:space="preserve">2. die Angaben enthalten, aus welchen erneuerbaren Energien oder technischen Einrichtungen zur Speicherung von Strom elektrische Energie erzeugt werden soll und welcher Anteil der Gebotsmenge für welche erneuerbare Energie geboten wird,</w:t>
      </w:r>
    </w:p>
    <w:p>
      <w:pPr>
        <w:ind w:left="420"/>
      </w:pPr>
      <w:r>
        <w:t xml:space="preserve">3. eine Eigenerklärung enthalten, dass die geplanten Anlagen über einen gemeinsamen Netzverknüpfungspunkt einspeisen werden,</w:t>
      </w:r>
    </w:p>
    <w:p>
      <w:pPr>
        <w:ind w:left="420"/>
      </w:pPr>
      <w:r>
        <w:t xml:space="preserve">4. die jeweiligen Nummern, unter der die Anlagen als Projekte im Register registriert wurden, enthalten, auch wenn die Anlagenkombination Anlagen umfasst, die nicht Windenergieanlagen an Land, Solaranlagen und Biomasseanlagen sind.</w:t>
      </w:r>
    </w:p>
    <w:p>
      <w:r>
        <w:t xml:space="preserve">Satz 1 Nummer 1 gilt entsprechend auch für die Teile der Anlagenkombination, für die ansonsten die Marktprämie nicht nach § 22 Absatz 2 bis 4 des Erneuerbare-Energien-Gesetzes durch Ausschreibungen ermittelt würde.</w:t>
      </w:r>
    </w:p>
    <w:p>
      <w:r>
        <w:t xml:space="preserve">(3) Sofern Gebote für Anlagenkombinationen Anlagen enthalten, die nicht Windenergieanlagen an Land oder Biomasseanlagen sind, sind diese Anlagen vor dem Gebotstermin als Projekt im Register zu registrieren.</w:t>
      </w:r>
    </w:p>
    <w:p>
      <w:r>
        <w:t xml:space="preserve">(4) Die Höhe der Sicherheit nach § 31 des Erneuerbare-Energien-Gesetzes für Gebote für Anlagenkombinationen bestimmt sich aus der Gebotsmenge multipliziert mit 60 Euro pro Kilowatt zu installierender Leistung.</w:t>
      </w:r>
    </w:p>
    <w:p>
      <w:r>
        <w:rPr>
          <w:color w:val="555555"/>
          <w:sz w:val="17"/>
        </w:rPr>
        <w:t xml:space="preserve">Zitiervorschlag: § 6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