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InnAusV — Teilnahmeberechtigte Anlagen</w:t>
      </w:r>
    </w:p>
    <w:p>
      <w:r>
        <w:rPr>
          <w:color w:val="555555"/>
          <w:sz w:val="18"/>
        </w:rPr>
        <w:t xml:space="preserve">Innovationsausschreibungsverordnung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In den Innovationsausschreibungen können nur Gebote für Anlagenkombinationen abgegeben werden.</w:t>
      </w:r>
    </w:p>
    <w:p>
      <w:r>
        <w:rPr>
          <w:color w:val="555555"/>
          <w:sz w:val="17"/>
        </w:rPr>
        <w:t xml:space="preserve">Zitiervorschlag: § 4 InnAusV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https://recht.nulegal.eu/gesetze/InnAusV/4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