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InnAusV — Anwendung des Erneuerbare-Energien-Gesetzes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Regelungen des Erneuerbare-Energien-Gesetzes sind bei Innovationsausschreibungen entsprechend anzuwenden, sofern in dieser Verordnung nicht etwas Abweichendes geregelt ist.</w:t>
      </w:r>
    </w:p>
    <w:p>
      <w:r>
        <w:t xml:space="preserve">(2) Bei den Innovationsausschreibungen sind die allgemeinen Ausschreibungsbestimmungen der §§ 29, 33, 34, 35a, 55 und 55a des Erneuerbare-Energien-Gesetzes jeweils mit der Maßgabe, dass an die Stelle des Anspruchs nach § 19 Absatz 1 des Erneuerbare-Energien-Gesetzes der Anspruch nach § 8 Absatz 1 tritt, und soweit diese Verordnung nicht etwas anderes regelt, anzuwenden.</w:t>
      </w:r>
    </w:p>
    <w:p>
      <w:r>
        <w:rPr>
          <w:color w:val="555555"/>
          <w:sz w:val="17"/>
        </w:rPr>
        <w:t xml:space="preserve">Zitiervorschlag: § 3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