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InnAusV — Begriffsbestimmungen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10.08.2022 (konsolidierte Textfassung, kein amtliches Inkrafttretensdatum)</w:t>
      </w:r>
    </w:p>
    <w:p>
      <w:r>
        <w:t xml:space="preserve">Im Sinne dieser Verordnung ist:</w:t>
      </w:r>
    </w:p>
    <w:p>
      <w:pPr>
        <w:ind w:left="420"/>
      </w:pPr>
      <w:r>
        <w:t xml:space="preserve">1. „Anlagenkombination“ ein Zusammenschluss</w:t>
      </w:r>
    </w:p>
    <w:p>
      <w:pPr>
        <w:ind w:left="780"/>
      </w:pPr>
      <w:r>
        <w:t xml:space="preserve">a) von mehreren Anlagen verschiedener erneuerbarer Energien nach § 3 Nummer 21 des Erneuerbare-Energien-Gesetzes oder</w:t>
      </w:r>
    </w:p>
    <w:p>
      <w:pPr>
        <w:ind w:left="780"/>
      </w:pPr>
      <w:r>
        <w:t xml:space="preserve">b) von Anlagen mit Einrichtungen, die zwischengespeicherte Energie, die ausschließlich aus erneuerbaren Energien stammt, aufnehmen und in elektrische Energie umwandeln,</w:t>
      </w:r>
    </w:p>
    <w:p>
      <w:pPr>
        <w:ind w:left="420"/>
      </w:pPr>
      <w:r>
        <w:t xml:space="preserve">wovon mindestens eine erneuerbare Energie Windenergie an Land oder solare Strahlungsenergie ist, und der über einen gemeinsamen Netzverknüpfungspunkt einspeist,</w:t>
      </w:r>
    </w:p>
    <w:p>
      <w:pPr>
        <w:ind w:left="420"/>
      </w:pPr>
      <w:r>
        <w:t xml:space="preserve">2. „Innovationsausschreibung“ eine nach den Vorschriften dieser Verordnung durchgeführte Ausschreibung.</w:t>
      </w:r>
    </w:p>
    <w:p>
      <w:r>
        <w:rPr>
          <w:color w:val="555555"/>
          <w:sz w:val="17"/>
        </w:rPr>
        <w:t xml:space="preserve">Zitiervorschlag: § 2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