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InnAusV — Weitere Bestimmungen zu Anlagenkombinationen</w:t>
      </w:r>
    </w:p>
    <w:p>
      <w:r>
        <w:rPr>
          <w:color w:val="555555"/>
          <w:sz w:val="18"/>
        </w:rPr>
        <w:t xml:space="preserve">Innovationsausschreibungsverordnung</w:t>
      </w:r>
    </w:p>
    <w:p>
      <w:r>
        <w:rPr>
          <w:color w:val="555555"/>
          <w:sz w:val="18"/>
        </w:rPr>
        <w:t xml:space="preserve">Stand: 25.06.2023 (konsolidierte Textfassung, kein amtliches Inkrafttretensdatum)</w:t>
      </w:r>
    </w:p>
    <w:p>
      <w:r>
        <w:t xml:space="preserve">(1) Zuschläge für Anlagenkombinationen erlöschen 30 Monate nach der öffentlichen Bekanntgabe des Zuschlags, sofern die Anlagenkombinationen die Voraussetzungen des § 2 Nummer 1 zu diesem Zeitpunkt nicht erfüllen oder soweit die Anlagen nicht bis zu diesem Zeitpunkt in Betrieb genommen worden sind.</w:t>
      </w:r>
    </w:p>
    <w:p>
      <w:r>
        <w:t xml:space="preserve">(2) Die Marktprämie nach § 8 verringert sich auf null,</w:t>
      </w:r>
    </w:p>
    <w:p>
      <w:pPr>
        <w:ind w:left="420"/>
      </w:pPr>
      <w:r>
        <w:t xml:space="preserve">1. sofern die Anlagenkombination einen Speicher enthält, wenn dessen installierte Leistung nicht mindestens 25 Prozent der installierten Gesamtleistung der Anlagenkombination entspricht und die Energiespeicherkapazität nicht mindestens eine Einspeicherung von zwei Stunden der Arbeit der Nennleistung der Energiespeichertechnologie ermöglicht, oder</w:t>
      </w:r>
    </w:p>
    <w:p>
      <w:pPr>
        <w:ind w:left="420"/>
      </w:pPr>
      <w:r>
        <w:t xml:space="preserve">2. sofern die Anlagenkombination keinen Speicher enthält, wenn sie technisch nicht so beschaffen ist, dass sie für mindestens 25 Prozent ihrer installierten Leistung positive Sekundärregelleistung erbringen kann.</w:t>
      </w:r>
    </w:p>
    <w:p>
      <w:r>
        <w:t xml:space="preserve">Die Voraussetzungen nach Satz 1 sind jährlich durch die Bestätigung eines Umweltgutachters gegenüber dem Anschlussnetzbetreiber nachzuweisen.</w:t>
      </w:r>
    </w:p>
    <w:p>
      <w:r>
        <w:t xml:space="preserve">(3) Bei Geboten für Anlagenkombinationen müssen Bieter an den verantwortlichen Übertragungsnetzbetreiber eine Pönale leisten, sofern mehr als 5 Prozent der Gebotsmenge eines bezuschlagten Gebots einer Anlagenkombination nach § 35a des Erneuerbare-Energien-Gesetzes entwertet werden. Die Höhe der Pönale berechnet sich aus der entwerteten Gebotsmenge multipliziert mit 60 Euro pro Kilowatt. § 55 Absatz 6 bis 8 des Erneuerbare-Energien-Gesetzes gilt entsprechend.</w:t>
      </w:r>
    </w:p>
    <w:p>
      <w:r>
        <w:t xml:space="preserve">(4) Sofern die Anlagenkombination auch Speicher enthält, ist der zwischengespeicherte Strom ausschließlich in den anderen Anlagenteilen zu erzeugen.</w:t>
      </w:r>
    </w:p>
    <w:p>
      <w:r>
        <w:t xml:space="preserve">(5) Die Voraussetzungen des § 2 Nummer 1 müssen während der gesamten Dauer der Zahlungen der Marktprämie nach § 8 erfüllt sein.</w:t>
      </w:r>
    </w:p>
    <w:p>
      <w:r>
        <w:t xml:space="preserve">(6) Sofern die Anlagenkombination auch Windenergieanlagen an Land oder Freiflächenanlagen enthält, ist § 6 des Erneuerbare-Energien-Gesetzes mit der Maßgabe anzuwenden, dass die gesamte in der Anlagenkombination erzeugte und eingespeiste Strommenge Grundlage für die Ermittlung der Zuwendungen sein darf.</w:t>
      </w:r>
    </w:p>
    <w:p>
      <w:r>
        <w:rPr>
          <w:color w:val="555555"/>
          <w:sz w:val="17"/>
        </w:rPr>
        <w:t xml:space="preserve">Zitiervorschlag: § 13 InnAusV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https://recht.nulegal.eu/gesetze/InnAusV/13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