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InnAusV — Zuschlagserteilung, Zuschlagsbegrenzung</w:t>
      </w:r>
    </w:p>
    <w:p>
      <w:r>
        <w:rPr>
          <w:color w:val="555555"/>
          <w:sz w:val="18"/>
        </w:rPr>
        <w:t xml:space="preserve">Innovationsausschreibungsverordnung</w:t>
      </w:r>
    </w:p>
    <w:p>
      <w:r>
        <w:rPr>
          <w:color w:val="555555"/>
          <w:sz w:val="18"/>
        </w:rPr>
        <w:t xml:space="preserve">Stand: 25.06.2023 (konsolidierte Textfassung, kein amtliches Inkrafttretensdatum)</w:t>
      </w:r>
    </w:p>
    <w:p>
      <w:r>
        <w:t xml:space="preserve">(1) Die Bundesnetzagentur prüft die Zulässigkeit der Gebote nach den §§ 33 und 34 des Erneuerbare-Energien-Gesetzes und nach den §§ 5 und 6. Für das weitere Zuschlagsverfahren ist vorbehaltlich des Absatzes 2 der § 32 des Erneuerbare-Energien-Gesetzes entsprechend anwendbar.</w:t>
      </w:r>
    </w:p>
    <w:p>
      <w:r>
        <w:t xml:space="preserve">(2) Die Bundesnetzagentur erfasst für jedes Gebot, für das ein Zuschlag erteilt worden ist, die vom Bieter übermittelten Angaben und Nachweise sowie den Zuschlagswert.</w:t>
      </w:r>
    </w:p>
    <w:p>
      <w:r>
        <w:rPr>
          <w:color w:val="555555"/>
          <w:sz w:val="17"/>
        </w:rPr>
        <w:t xml:space="preserve">Zitiervorschlag: § 11 InnAusV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https://recht.nulegal.eu/gesetze/InnAusV/11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