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InnAusV — Anwendungsbereich</w:t>
      </w:r>
    </w:p>
    <w:p>
      <w:r>
        <w:rPr>
          <w:color w:val="555555"/>
          <w:sz w:val="18"/>
        </w:rPr>
        <w:t xml:space="preserve">Innovationsausschreibungsverordnung</w:t>
      </w:r>
    </w:p>
    <w:p>
      <w:r>
        <w:rPr>
          <w:color w:val="555555"/>
          <w:sz w:val="18"/>
        </w:rPr>
        <w:t xml:space="preserve">Stand: 10.08.2022 (konsolidierte Textfassung, kein amtliches Inkrafttretensdatum)</w:t>
      </w:r>
    </w:p>
    <w:p>
      <w:r>
        <w:t xml:space="preserve">Diese Verordnung regelt die Innovationsausschreibungen nach § 39n des Erneuerbare-Energien-Gesetzes.</w:t>
      </w:r>
    </w:p>
    <w:p>
      <w:r>
        <w:rPr>
          <w:color w:val="555555"/>
          <w:sz w:val="17"/>
        </w:rPr>
        <w:t xml:space="preserve">Zitiervorschlag: § 1 InnAusV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https://recht.nulegal.eu/gesetze/InnAusV/1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