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InhPapG</w:t>
      </w:r>
    </w:p>
    <w:p>
      <w:r>
        <w:rPr>
          <w:color w:val="555555"/>
          <w:sz w:val="18"/>
        </w:rPr>
        <w:t xml:space="preserve">Gesetz betreffend die Inhaberpapiere mit Prämien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 InhPapG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https://recht.nulegal.eu/gesetze/InhPapG/4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