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InhPapG</w:t>
      </w:r>
    </w:p>
    <w:p>
      <w:r>
        <w:rPr>
          <w:color w:val="555555"/>
          <w:sz w:val="18"/>
        </w:rPr>
        <w:t xml:space="preserve">Gesetz betreffend die Inhaberpapiere mit Prämien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Dasselbe gilt vom 15. Juli 1871 ab von ausländischen Inhaberpapieren mit Prämien, deren Ausgabe vor dem 1. Mai 1871 erfolgt ist, sofern dieselben nicht abgestempelt sind. ...</w:t>
      </w:r>
    </w:p>
    <w:p>
      <w:r>
        <w:rPr>
          <w:color w:val="555555"/>
          <w:sz w:val="17"/>
        </w:rPr>
        <w:t xml:space="preserve">Zitiervorschlag: § 3 InhPapG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https://recht.nulegal.eu/gesetze/InhPapG/3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