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InhPapG</w:t>
      </w:r>
    </w:p>
    <w:p>
      <w:r>
        <w:rPr>
          <w:color w:val="555555"/>
          <w:sz w:val="18"/>
        </w:rPr>
        <w:t xml:space="preserve">Gesetz betreffend die Inhaberpapiere mit Prämien</w:t>
      </w:r>
    </w:p>
    <w:p>
      <w:r>
        <w:rPr>
          <w:color w:val="555555"/>
          <w:sz w:val="18"/>
        </w:rPr>
        <w:t xml:space="preserve">Stand: 10.06.2019 (konsolidierte Textfassung, kein amtliches Inkrafttretensdatum)</w:t>
      </w:r>
    </w:p>
    <w:p>
      <w:r>
        <w:t xml:space="preserve">Auf den Inhaber lautende Schuldverschreibungen, in welchen allen Gläubigern oder einem Teil derselben außer der Zahlung der verschriebenen Geldsumme eine Prämie dergestalt zugesichert wird, daß durch Auslosung oder durch eine andere auf den Zufall gestellte Art der Ermittlung die zu prämierenden Schuldverschreibungen und die Höhe der ihnen zufallenden Prämie bestimmt werden sollen (Inhaberpapiere mit Prämien), dürfen im Inland nur auf Grund eines Bundesgesetzes und nur zum Zweck der Anleihe des Bundes oder eines Landes ausgegeben werden.</w:t>
      </w:r>
    </w:p>
    <w:p>
      <w:r>
        <w:rPr>
          <w:color w:val="555555"/>
          <w:sz w:val="17"/>
        </w:rPr>
        <w:t xml:space="preserve">Zitiervorschlag: § 1 InhPapG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https://recht.nulegal.eu/gesetze/InhPapG/1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