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InhKontrollV — (zu § 9 Absatz 4 Satz 1)</w:t>
      </w:r>
    </w:p>
    <w:p>
      <w:r>
        <w:rPr>
          <w:color w:val="555555"/>
          <w:sz w:val="18"/>
        </w:rPr>
        <w:t xml:space="preserve">Inhaberkontrollverordnung</w:t>
      </w:r>
    </w:p>
    <w:p>
      <w:r>
        <w:rPr>
          <w:color w:val="555555"/>
          <w:sz w:val="18"/>
        </w:rPr>
        <w:t xml:space="preserve">Stand: 16.03.2023 (konsolidierte Textfassung, kein amtliches Inkrafttretensdatum)</w:t>
      </w:r>
    </w:p>
    <w:p>
      <w:r>
        <w:t xml:space="preserve">(Fundstelle: BGBl. I 2022, 2683 – 2689)</w:t>
      </w:r>
    </w:p>
    <w:p>
      <w:r>
        <w:rPr>
          <w:color w:val="555555"/>
          <w:sz w:val="17"/>
        </w:rPr>
        <w:t xml:space="preserve">Zitiervorschlag: Anlage 4 InhKontrollV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https://recht.nulegal.eu/gesetze/InhKontrollV/anlage-4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