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3 InhKontrollV — (zu § 9 Absatz 1 Satz 1)</w:t>
      </w:r>
    </w:p>
    <w:p>
      <w:r>
        <w:rPr>
          <w:color w:val="555555"/>
          <w:sz w:val="18"/>
        </w:rPr>
        <w:t xml:space="preserve">Inhaberkontrollverordnung</w:t>
      </w:r>
    </w:p>
    <w:p>
      <w:r>
        <w:rPr>
          <w:color w:val="555555"/>
          <w:sz w:val="18"/>
        </w:rPr>
        <w:t xml:space="preserve">Stand: 25.11.2025 (konsolidierte Textfassung, kein amtliches Inkrafttretensdatum)</w:t>
      </w:r>
    </w:p>
    <w:p>
      <w:r>
        <w:t xml:space="preserve">(Fundstelle: BGBl. 2025 I Nr. 277, S. 22 – 28)</w:t>
      </w:r>
    </w:p>
    <w:p>
      <w:r>
        <w:rPr>
          <w:color w:val="555555"/>
          <w:sz w:val="17"/>
        </w:rPr>
        <w:t xml:space="preserve">Zitiervorschlag: Anlage 3 InhKontrollV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https://recht.nulegal.eu/gesetze/InhKontrollV/anlage-3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