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InhKontrollV — Kapital- und Stimmrechtsanteile</w:t>
      </w:r>
    </w:p>
    <w:p>
      <w:r>
        <w:rPr>
          <w:color w:val="555555"/>
          <w:sz w:val="18"/>
        </w:rPr>
        <w:t xml:space="preserve">Inhaberkontrollverordnung</w:t>
      </w:r>
    </w:p>
    <w:p>
      <w:r>
        <w:rPr>
          <w:color w:val="555555"/>
          <w:sz w:val="18"/>
        </w:rPr>
        <w:t xml:space="preserve">Stand: 16.03.2023 (konsolidierte Textfassung, kein amtliches Inkrafttretensdatum)</w:t>
      </w:r>
    </w:p>
    <w:p>
      <w:r>
        <w:t xml:space="preserve">(1) Bei der Berechnung der Kapital- oder Stimmrechtsanteile nach § 6 Absatz 2 Satz 1, § 8 Nummer 5, § 11 Absatz 1 Nummer 1 Buchstabe a und Nummer 3, § 12 Absatz 2 Nummer 3 und 4, Absatz 4 und 6 sowie § 15 Absatz 2 und 3 sind direkt und indirekt gehaltene Anteile zu berücksichtigen. Einer Person, die einen Anteilsinhaber, der mindestens 10 Prozent des Kapitals des Zielunternehmens hält, direkt oder indirekt kontrolliert, sind die Kapitalanteile dieses Anteilsinhabers in voller Höhe zuzurechnen. Für die Berechnung der Stimmrechtsanteile gelten § 1 Absatz 9 Satz 2 und 3 des Kreditwesengesetzes und § 7 Nummer 3 zweiter und dritter Teilsatz des Versicherungsaufsichtsgesetzes.</w:t>
      </w:r>
    </w:p>
    <w:p>
      <w:r>
        <w:t xml:space="preserve">(2) Kommt es nach dieser Verordnung auf die Höhe gehaltener Kapital- oder Stimmrechtsanteile an, ist diese in Prozent anzugeben. Bei indirekt gehaltenen Anteilen sind zusätzlich die vermittelnden Unternehmen mit den von ihnen gehaltenen Kapital- oder Stimmrechtsanteilen in Prozent anzugeben. In den Fällen einer Stimmrechtszurechnung sind auch diejenigen, die die betreffenden Stimmrechte halten, sowie der Grund der Stimmrechtszurechnung anzugeben.</w:t>
      </w:r>
    </w:p>
    <w:p>
      <w:r>
        <w:rPr>
          <w:color w:val="555555"/>
          <w:sz w:val="17"/>
        </w:rPr>
        <w:t xml:space="preserve">Zitiervorschlag: § 5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