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InhKontrollV — Angaben zu Personen, Personenhandelsgesellschaften, Gesellschaften anderer Rechtsform und Zweckvermögen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Die nach dieser Verordnung und nach § 2c Absatz 1 Satz 2 letzter Halbsatz des Kreditwesengesetzes und § 17 Absatz 1 Satz 1 Nummer 1 zweiter Teilsatz des Versicherungsaufsichtsgesetzes vom Anzeigepflichtigen anzugebenden natürlichen Personen sind mit</w:t>
      </w:r>
    </w:p>
    <w:p>
      <w:pPr>
        <w:ind w:left="420"/>
      </w:pPr>
      <w:r>
        <w:t xml:space="preserve">1. vollständigem Namen,</w:t>
      </w:r>
    </w:p>
    <w:p>
      <w:pPr>
        <w:ind w:left="420"/>
      </w:pPr>
      <w:r>
        <w:t xml:space="preserve">2. Geburtsdatum,</w:t>
      </w:r>
    </w:p>
    <w:p>
      <w:pPr>
        <w:ind w:left="420"/>
      </w:pPr>
      <w:r>
        <w:t xml:space="preserve">3. Geburtsort und</w:t>
      </w:r>
    </w:p>
    <w:p>
      <w:pPr>
        <w:ind w:left="420"/>
      </w:pPr>
      <w:r>
        <w:t xml:space="preserve">4. Anschrift des ersten Wohnsitzes</w:t>
      </w:r>
    </w:p>
    <w:p>
      <w:r>
        <w:t xml:space="preserve">zu benennen.</w:t>
      </w:r>
    </w:p>
    <w:p>
      <w:r>
        <w:t xml:space="preserve">(2) Die nach dieser Verordnung und nach § 2c Absatz 1 Satz 2 letzter Halbsatz des Kreditwesengesetzes und § 17 Absatz 1 Satz 1 Nummer 1 zweiter Teilsatz des Versicherungsaufsichtsgesetzes vom Anzeigepflichtigen anzugebenden juristischen Personen, Personenhandelsgesellschaften und Gesellschaften anderer Rechtsform sowie Zweckvermögen sind mit</w:t>
      </w:r>
    </w:p>
    <w:p>
      <w:pPr>
        <w:ind w:left="420"/>
      </w:pPr>
      <w:r>
        <w:t xml:space="preserve">1. Firma,</w:t>
      </w:r>
    </w:p>
    <w:p>
      <w:pPr>
        <w:ind w:left="420"/>
      </w:pPr>
      <w:r>
        <w:t xml:space="preserve">2. Rechtsform,</w:t>
      </w:r>
    </w:p>
    <w:p>
      <w:pPr>
        <w:ind w:left="420"/>
      </w:pPr>
      <w:r>
        <w:t xml:space="preserve">3. Sitz,</w:t>
      </w:r>
    </w:p>
    <w:p>
      <w:pPr>
        <w:ind w:left="420"/>
      </w:pPr>
      <w:r>
        <w:t xml:space="preserve">4. Sitzstaat,</w:t>
      </w:r>
    </w:p>
    <w:p>
      <w:pPr>
        <w:ind w:left="420"/>
      </w:pPr>
      <w:r>
        <w:t xml:space="preserve">5. Anschrift des Hauptsitzes der Geschäftsleitung und</w:t>
      </w:r>
    </w:p>
    <w:p>
      <w:pPr>
        <w:ind w:left="420"/>
      </w:pPr>
      <w:r>
        <w:t xml:space="preserve">6. den Ordnungsmerkmalen der gewerberechtlichen Registereintragung, sofern eine Eintragung besteht,</w:t>
      </w:r>
    </w:p>
    <w:p>
      <w:r>
        <w:t xml:space="preserve">zu benennen.</w:t>
      </w:r>
    </w:p>
    <w:p>
      <w:r>
        <w:rPr>
          <w:color w:val="555555"/>
          <w:sz w:val="17"/>
        </w:rPr>
        <w:t xml:space="preserve">Zitiervorschlag: § 4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