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InhKontrollV — Ergänzende Mitteilungen bei nachträglichen Änderungen beim Inhaber einer bedeutenden Beteiligung zur Sicherung der Zusammenarbeit mit den zuständigen Stellen im Europäischen Wirtschaftsraum</w:t>
      </w:r>
    </w:p>
    <w:p>
      <w:r>
        <w:rPr>
          <w:color w:val="555555"/>
          <w:sz w:val="18"/>
        </w:rPr>
        <w:t xml:space="preserve">Inhaberkontrollverordnung</w:t>
      </w:r>
    </w:p>
    <w:p>
      <w:r>
        <w:rPr>
          <w:color w:val="555555"/>
          <w:sz w:val="18"/>
        </w:rPr>
        <w:t xml:space="preserve">Stand: 25.11.2025 (konsolidierte Textfassung, kein amtliches Inkrafttretensdatum)</w:t>
      </w:r>
    </w:p>
    <w:p>
      <w:r>
        <w:t xml:space="preserve">Ist der Inhaber einer bedeutenden Beteiligung kein Kreditinstitut, Finanzdienstleistungsinstitut, Wertpapierinstitut, Versicherungsunternehmen oder Pensionsfonds mit Sitz im Inland, hat er unverzüglich schriftlich unter Angabe des betreffenden Staates und der Bezeichnung der jeweils zuständigen Aufsichtsbehörde mitzuteilen, wenn er</w:t>
      </w:r>
    </w:p>
    <w:p>
      <w:pPr>
        <w:ind w:left="420"/>
      </w:pPr>
      <w:r>
        <w:t xml:space="preserve">1. in einem anderen Mitgliedstaat der Europäischen Union oder einem anderen Vertragsstaat des Abkommens über den Europäischen Wirtschaftsraum als CRR-Kreditinstitut, E-Geld-Institut, Zahlungsinstitut im Sinne des § 1 Absatz 1 Satz 1 Nummer 1 des Zahlungsdiensteaufsichtsgesetzes, Wertpapierinstitut, Erstversicherungsunternehmen oder Rückversicherungsunternehmen zugelassen wird, wobei die Identitätsnummer, unter der der Anzeigepflichtige bei der zuständigen Aufsichtsbehörde geführt wird, anzugeben ist;</w:t>
      </w:r>
    </w:p>
    <w:p>
      <w:pPr>
        <w:ind w:left="420"/>
      </w:pPr>
      <w:r>
        <w:t xml:space="preserve">2. Mutterunternehmen eines in einem anderen Mitgliedstaat der Europäischen Union oder einem anderen Vertragsstaat des Abkommens über den Europäischen Wirtschaftsraum zugelassenen CRR-Kreditinstituts, E-Geld-Instituts, Zahlungsinstituts im Sinne des § 1 Absatz 1 Satz 1 Nummer 1 des Zahlungsdiensteaufsichtsgesetzes, Wertpapierinstituts, Erstversicherungsunternehmens oder Rückversicherungsunternehmens wird oder</w:t>
      </w:r>
    </w:p>
    <w:p>
      <w:pPr>
        <w:ind w:left="420"/>
      </w:pPr>
      <w:r>
        <w:t xml:space="preserve">3. die Kontrolle über ein in einem anderen Mitgliedstaat der Europäischen Union oder einem anderen Vertragsstaat des Abkommens über den Europäischen Wirtschaftsraum zugelassenes CRR-Kreditinstitut, E-Geld-Institut, Zahlungsinstitut im Sinne des § 1 Absatz 1 Satz 1 Nummer 1 des Zahlungsdiensteaufsichtsgesetzes, Wertpapierinstitut, Erstversicherungsunternehmen oder Rückversicherungsunternehmen erlangt.</w:t>
      </w:r>
    </w:p>
    <w:p>
      <w:r>
        <w:t xml:space="preserve">Das CRR-Kreditinstitut, E-Geld-Institut, Wertpapierinstitut, Erstversicherungsunternehmen oder Rückversicherungsunternehmen nach Satz 1 Nummer 2 und 3 ist auch mit der Identitätsnummer, unter der es bei der zuständigen Aufsichtsbehörde geführt wird, anzugeben.</w:t>
      </w:r>
    </w:p>
    <w:p>
      <w:r>
        <w:rPr>
          <w:color w:val="555555"/>
          <w:sz w:val="17"/>
        </w:rPr>
        <w:t xml:space="preserve">Zitiervorschlag: § 19 InhKontrollV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https://recht.nulegal.eu/gesetze/InhKontrollV/19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