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InhKontrollV — Finanzierung, Offenlegung sämtlicher Vereinbarungen</w:t>
      </w:r>
    </w:p>
    <w:p>
      <w:r>
        <w:rPr>
          <w:color w:val="555555"/>
          <w:sz w:val="18"/>
        </w:rPr>
        <w:t xml:space="preserve">Inhaberkontrollverordnung</w:t>
      </w:r>
    </w:p>
    <w:p>
      <w:r>
        <w:rPr>
          <w:color w:val="555555"/>
          <w:sz w:val="18"/>
        </w:rPr>
        <w:t xml:space="preserve">Stand: 16.03.2023 (konsolidierte Textfassung, kein amtliches Inkrafttretensdatum)</w:t>
      </w:r>
    </w:p>
    <w:p>
      <w:r>
        <w:t xml:space="preserve">Den Anzeigen sind eine aussagekräftige, lückenlose Darstellung und geeignete, lückenlose Nachweise über das Vorhandensein und die Herkunft der Eigen- und Fremdmittel, die für den Erwerb oder die Erhöhung eingesetzt werden sollen oder eingesetzt wurden, sowie sämtliche im Zusammenhang mit dem Erwerb oder der Erhöhung geschlossenen Vereinbarungen und Verträge beizufügen.</w:t>
      </w:r>
    </w:p>
    <w:p>
      <w:r>
        <w:rPr>
          <w:color w:val="555555"/>
          <w:sz w:val="17"/>
        </w:rPr>
        <w:t xml:space="preserve">Zitiervorschlag: § 14 InhKontrollV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https://recht.nulegal.eu/gesetze/InhKontrollV/14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