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InhKontrollV — Zielunternehmen</w:t>
      </w:r>
    </w:p>
    <w:p>
      <w:r>
        <w:rPr>
          <w:color w:val="555555"/>
          <w:sz w:val="18"/>
        </w:rPr>
        <w:t xml:space="preserve">Inhaberkontrollverordnung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Zielunternehmen im Sinne dieser Verordnung ist</w:t>
      </w:r>
    </w:p>
    <w:p>
      <w:pPr>
        <w:ind w:left="420"/>
      </w:pPr>
      <w:r>
        <w:t xml:space="preserve">1. das Kreditinstitut,</w:t>
      </w:r>
    </w:p>
    <w:p>
      <w:pPr>
        <w:ind w:left="420"/>
      </w:pPr>
      <w:r>
        <w:t xml:space="preserve">2. das Finanzdienstleistungsinstitut,</w:t>
      </w:r>
    </w:p>
    <w:p>
      <w:pPr>
        <w:ind w:left="420"/>
      </w:pPr>
      <w:r>
        <w:t xml:space="preserve">3. das Versicherungsunternehmen,</w:t>
      </w:r>
    </w:p>
    <w:p>
      <w:pPr>
        <w:ind w:left="420"/>
      </w:pPr>
      <w:r>
        <w:t xml:space="preserve">4. der Pensionsfonds oder</w:t>
      </w:r>
    </w:p>
    <w:p>
      <w:pPr>
        <w:ind w:left="420"/>
      </w:pPr>
      <w:r>
        <w:t xml:space="preserve">5. das Unternehmen mit Sitz im Inland, dessen Haupttätigkeit der Erwerb und das Halten direkter oder indirekter Beteiligungen an Erst- oder Rückversicherungsunternehmen oder Pensionsfonds ist,</w:t>
      </w:r>
    </w:p>
    <w:p>
      <w:r>
        <w:t xml:space="preserve">an dem eine bedeutende Beteiligung im Sinne des § 1 Absatz 9 des Kreditwesengesetzes oder des § 7 Nummer 3 des Versicherungsaufsichtsgesetzes erworben, eine bestehende bedeutende Beteiligung verändert oder eine bedeutende Beteiligung aufgegeben werden soll oder eine bedeutende Beteiligung unabsichtlich erworben, verändert oder aufgegeben wurde.</w:t>
      </w:r>
    </w:p>
    <w:p>
      <w:r>
        <w:rPr>
          <w:color w:val="555555"/>
          <w:sz w:val="17"/>
        </w:rPr>
        <w:t xml:space="preserve">Zitiervorschlag: § 1 InhKontrollV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https://recht.nulegal.eu/gesetze/InhKontrollV/1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