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IngVStV_Bay_HES (Bayern) — Kündigung des Staatsvertrags</w:t>
      </w:r>
    </w:p>
    <w:p>
      <w:r>
        <w:rPr>
          <w:color w:val="555555"/>
          <w:sz w:val="18"/>
        </w:rPr>
        <w:t xml:space="preserve">Staatsvertrag zwischen dem Freistaat Bayern und dem Land Hessen über die Zugehörigkeit der kammerangehörigen Ingenieure des Landes Hessen zur Bayerischen Ingenieurversorgung-Bau</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kann von jedem der vertragschließenden Teile mit einer Frist von fünf Jahren zum Ablauf eines Kalenderjahrs gekündigt werden. Vor Ablauf von zehn Jahren nach In-Kraft-Treten dieses Staatsvertrags ist eine ordentliche Kündigung ausgeschlossen. Abweichend von den Sätzen 1 und 2 kann das Land Hessen den Staatsvertrag zum Ablauf des nächstfolgenden Kalenderjahrs kündigen, wenn die Bestimmungen des bayerischen Gesetzes über das öffentliche Versorgungswesen gegenüber der beim In-Kraft-Treten dieses Staatsvertrags geltenden Fassung wesentlich geändert werden. Eine wesentliche Änderung ist anzunehmen, wenn die Regelungen zur Aufgabe der Ingenieurversorgung, zur Mitgliedschaft und Beitragspflicht der Mitglieder oder zu den Leistungen der Ingenieurversorgung nicht nur unerheblich geändert werden.</w:t>
      </w:r>
    </w:p>
    <w:p>
      <w:r>
        <w:t xml:space="preserve">(2) Im Fall der Kündigung übernimmt ein durch das Land Hessen innerhalb der Kündigungsfrist zu bestimmender Rechtsträger die Versorgungsverhältnisse der im Land Hessen beruflich tätigen Mitglieder sowie der im Land Hessen wohnhaften Versorgungsempfänger der Ingenieurversorgung. Auf diesen Rechtsträger gehen alle Rechte und Pflichten der Ingenieurversorgung aus den übernommenen Versorgungsverhältnissen über.</w:t>
      </w:r>
    </w:p>
    <w:p>
      <w:r>
        <w:t xml:space="preserve">(3) Es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zum Tag des Wirksamwerdens der Kündigung zu erstellenden Auseinandersetzungsbilanz, wobei Verkehrswerte zugrunde zu legen sind. Von der Summe der aktiven Vermögenswerte ist die Summe der nichtversicherungstechnischen Verbindlichkeiten abzuziehen. Das so ermittelte Vermögen ist nach dem Verhältnis der versicherungstechnischen Verbindlichkeiten, die den ausscheidenden Mitgliederbestand betreffen, zu den versicherungstechnischen Verbindlichkeiten des verbleibenden Bestandes der Ingenieurversorgung aufzuteilen; soweit nichtversicherungstechnische Verbindlichkeiten vom Rechtsnachfolger übernommen werden, sind ihm die entsprechenden Deckungsmittel zu überlassen. Im Fall des Absatzes 1 Satz 3 ist von dem auf den Rechtsnachfolger zu übertragenden Teil des Vermögens ein Ausgleichsbetrag abzuziehen, der sich als Produkt der Zahl der Mitglieder des Übernahmebestands und des Betrags von 100 Euro errechnet; er vermindert sich mit jedem seit In-Kraft-Treten dieses Staatsvertrags abgelaufenen Kalenderjahr um ein Zehntel seines Anfangswertes. Bei der Verteilung des Vermögens sind im Land Hessen in Grundstücken, grundstücksgleichen Rechten und Rechten an diesen angelegte Vermögenswerte auf Verlangen auf den Rechtsnachfolger zu übertragen; bei den übrigen Vermögenswerten ist die Ingenieurversorgung berechtigt, Wertpapiere und Grundbesitz in Geldwert abzulösen.</w:t>
      </w:r>
    </w:p>
    <w:p>
      <w:r>
        <w:t xml:space="preserve">(4) Die Auseinandersetzung des Vermögens bedarf der versicherungsaufsichtlichen Genehmigung durch das Bayerische Staatsministerium für Wirtschaft, Verkehr und Technologie. Die Genehmigung wird im Einvernehmen mit dem Hessischen Ministerium für Wirtschaft, Verkehr und Landesentwicklung erteilt.</w:t>
      </w:r>
    </w:p>
    <w:p>
      <w:r>
        <w:rPr>
          <w:color w:val="555555"/>
          <w:sz w:val="17"/>
        </w:rPr>
        <w:t xml:space="preserve">Zitiervorschlag: Art 9 IngVStV_Bay_HES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https://recht.nulegal.eu/gesetze/IngVStV_Bay_HES/9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