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IngG (Nordrhein-Westfalen)</w:t>
      </w:r>
    </w:p>
    <w:p>
      <w:r>
        <w:rPr>
          <w:color w:val="555555"/>
          <w:sz w:val="18"/>
        </w:rPr>
        <w:t xml:space="preserve">Ingenieurgesetz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handelt, wer</w:t>
      </w:r>
    </w:p>
    <w:p>
      <w:r>
        <w:t xml:space="preserve">a) ohne nach den §§ 1, 2 oder 3 dazu berechtigt zu sein oder</w:t>
      </w:r>
    </w:p>
    <w:p>
      <w:r>
        <w:t xml:space="preserve">b) entgegen einer vollziehbaren Verfügung nach § 4</w:t>
      </w:r>
    </w:p>
    <w:p>
      <w:r>
        <w:t xml:space="preserve">die Berufsbezeichnung ,,Ingenieur/Ingenieurin" allein oder in einer Wortverbindung führt.</w:t>
      </w:r>
    </w:p>
    <w:p>
      <w:r>
        <w:t xml:space="preserve">Die Ordnungswidrigkeit kann mit einer Geldbuße geahndet werden.</w:t>
      </w:r>
    </w:p>
    <w:p>
      <w:r>
        <w:t xml:space="preserve">Zuständige Verwaltungsbehörde im Sinne von § 36 Abs. 1 Nr. 1 des Gesetzes über Ordnungswidrigkeiten ist die Bezirksregierung.</w:t>
      </w:r>
    </w:p>
    <w:p>
      <w:r>
        <w:rPr>
          <w:color w:val="555555"/>
          <w:sz w:val="17"/>
        </w:rPr>
        <w:t xml:space="preserve">Zitiervorschlag: § 8 IngG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