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IngG (Nordrhein-Westfalen)</w:t>
      </w:r>
    </w:p>
    <w:p>
      <w:r>
        <w:rPr>
          <w:color w:val="555555"/>
          <w:sz w:val="18"/>
        </w:rPr>
        <w:t xml:space="preserve">Ingenieurgesetz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1 genannte Berufsbezeichnung darf ferner führen, wer vor Inkrafttreten dieses Gesetzes eine Tätigkeit unter dieser Berufsbezeichnung ausgeübt hat und die Absicht, diese Berufsbezeichnung weiterzuführen, vor Inkrafttreten dieses Gesetzes der hierfür zuständigen Behörde angezeigt hat.</w:t>
      </w:r>
    </w:p>
    <w:p>
      <w:r>
        <w:t xml:space="preserve">(2) Wer vor Inkrafttreten dieses Gesetzes eine Tätigkeit unter der in § 1 genannten Berufsbezeichnung oder eine Tätigkeit, die in der Regel von einem Ingenieur oder einer Ingenieurin ausgeführt wird, ausgeübt hat, aber aus Rechtsgründen bei Inkrafttreten dieses Gesetzes die in § 1 genannte Berufsbezeichnung nicht führen durfte, ist berechtigt, diese nach Wegfall des Hinderungsgrundes zu führen, wenn innerhalb der in Absatz 1 genannten Ausschlussfrist die diesbezügliche Absicht unter Angabe des Hinderungsgrundes der zuständigen Behörde schriftlich angezeigt wurde.</w:t>
      </w:r>
    </w:p>
    <w:p>
      <w:r>
        <w:t xml:space="preserve">(3) Die Ausschlußfrist endet für Deutsche, die bei Inkrafttreten dieses Gesetzes ihren Wohnsitz außerhalb der Bundesrepublik Deutschland einschließlich des Landes Berlin haben, ein Jahr nach der Begründung des Wohnsitzes in der Bundesrepublik Deutschland einschließlich des Landes Berlin.</w:t>
      </w:r>
    </w:p>
    <w:p>
      <w:r>
        <w:rPr>
          <w:color w:val="555555"/>
          <w:sz w:val="17"/>
        </w:rPr>
        <w:t xml:space="preserve">Zitiervorschlag: § 3 IngG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