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InfrGGBV</w:t>
      </w:r>
    </w:p>
    <w:p>
      <w:r>
        <w:rPr>
          <w:color w:val="555555"/>
          <w:sz w:val="18"/>
        </w:rPr>
        <w:t xml:space="preserve">InfrGG-Beleihungsverordnung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 des § 6 des Infrastrukturgesellschaftserrichtungsgesetzes vom 14. August 2017 (BGBl. I S. 3122, 3141), der durch Artikel 5 des Gesetzes vom 29. November 2018 (BGBl. I S. 2237) geändert worden ist,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InfrGGBV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https://recht.nulegal.eu/gesetze/InfrGGBV/eingangsformel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