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InfrGGBV — Beendigung der Beleihung</w:t>
      </w:r>
    </w:p>
    <w:p>
      <w:r>
        <w:rPr>
          <w:color w:val="555555"/>
          <w:sz w:val="18"/>
        </w:rPr>
        <w:t xml:space="preserve">InfrGG-Beleihungsverordnung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Das Bundesministerium für Verkehr und digitale Infrastruktur kann die Beleihung insgesamt oder einzelne Beleihungstatbestände jederzeit aufheben. Die Beleihung endet mit dem Inkrafttreten einer die Beleihung aufhebenden Verordnung.</w:t>
      </w:r>
    </w:p>
    <w:p>
      <w:r>
        <w:rPr>
          <w:color w:val="555555"/>
          <w:sz w:val="17"/>
        </w:rPr>
        <w:t xml:space="preserve">Zitiervorschlag: § 3 InfrGGBV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https://recht.nulegal.eu/gesetze/InfrGGBV/3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